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5A9" w:rsidRPr="00E65C70" w:rsidRDefault="00BB45A9" w:rsidP="00BB45A9">
      <w:pPr>
        <w:ind w:left="709" w:hanging="709"/>
        <w:jc w:val="both"/>
        <w:rPr>
          <w:rFonts w:cs="Arial"/>
          <w:b/>
          <w:bCs/>
          <w:sz w:val="24"/>
          <w:szCs w:val="24"/>
        </w:rPr>
      </w:pPr>
      <w:bookmarkStart w:id="0" w:name="_GoBack"/>
      <w:proofErr w:type="gramStart"/>
      <w:r w:rsidRPr="00E65C70">
        <w:rPr>
          <w:rFonts w:cs="Arial"/>
          <w:b/>
          <w:bCs/>
          <w:sz w:val="24"/>
          <w:szCs w:val="24"/>
        </w:rPr>
        <w:t>9.F.i.</w:t>
      </w:r>
      <w:proofErr w:type="gramEnd"/>
      <w:r w:rsidRPr="00E65C70">
        <w:rPr>
          <w:rFonts w:cs="Arial"/>
          <w:b/>
          <w:bCs/>
          <w:sz w:val="24"/>
          <w:szCs w:val="24"/>
        </w:rPr>
        <w:t>   Odborné konzultace</w:t>
      </w:r>
    </w:p>
    <w:bookmarkEnd w:id="0"/>
    <w:p w:rsidR="00BB45A9" w:rsidRPr="00E65C70" w:rsidRDefault="00BB45A9" w:rsidP="00BB45A9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 w:rsidRPr="00E65C70">
        <w:rPr>
          <w:rFonts w:ascii="Arial" w:hAnsi="Arial" w:cs="Arial"/>
          <w:b/>
          <w:sz w:val="24"/>
          <w:szCs w:val="24"/>
        </w:rPr>
        <w:t>1</w:t>
      </w:r>
      <w:r w:rsidRPr="00E65C70">
        <w:rPr>
          <w:rFonts w:ascii="Arial" w:hAnsi="Arial" w:cs="Arial"/>
          <w:b/>
          <w:spacing w:val="-4"/>
          <w:sz w:val="24"/>
          <w:szCs w:val="24"/>
        </w:rPr>
        <w:t>   </w:t>
      </w:r>
      <w:r w:rsidRPr="00E65C70">
        <w:rPr>
          <w:rFonts w:ascii="Arial" w:hAnsi="Arial" w:cs="Arial"/>
          <w:b/>
          <w:sz w:val="24"/>
          <w:szCs w:val="24"/>
        </w:rPr>
        <w:t xml:space="preserve">Účel dotace </w:t>
      </w:r>
    </w:p>
    <w:p w:rsidR="00BB45A9" w:rsidRPr="00E65C70" w:rsidRDefault="00BB45A9" w:rsidP="00BB45A9">
      <w:pPr>
        <w:pStyle w:val="Bezmezer"/>
        <w:spacing w:after="120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Konzultační a metodická pomoc zemědělským podnikům formou šíření informací o opatřeních Programu rozvoje venkova a o aktuálních problémech při realizaci společné zemědělské politiky, transfer výsledků výzkumu a vývoje do praxe. </w:t>
      </w:r>
    </w:p>
    <w:p w:rsidR="00BB45A9" w:rsidRPr="00E65C70" w:rsidRDefault="00BB45A9" w:rsidP="00BB45A9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Podpora je poskytována v souladu s čl. 22 a/nebo čl. 39 nařízení Komise (EU) č. 702/2014. </w:t>
      </w:r>
    </w:p>
    <w:p w:rsidR="00BB45A9" w:rsidRPr="00E65C70" w:rsidRDefault="00BB45A9" w:rsidP="00BB45A9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 w:rsidRPr="00E65C70">
        <w:rPr>
          <w:rFonts w:ascii="Arial" w:hAnsi="Arial" w:cs="Arial"/>
          <w:b/>
          <w:sz w:val="24"/>
          <w:szCs w:val="24"/>
        </w:rPr>
        <w:t>2</w:t>
      </w:r>
      <w:r w:rsidRPr="00E65C70">
        <w:rPr>
          <w:rFonts w:ascii="Arial" w:hAnsi="Arial" w:cs="Arial"/>
          <w:b/>
          <w:spacing w:val="-4"/>
          <w:sz w:val="24"/>
          <w:szCs w:val="24"/>
        </w:rPr>
        <w:t>   </w:t>
      </w:r>
      <w:r w:rsidRPr="00E65C70">
        <w:rPr>
          <w:rFonts w:ascii="Arial" w:hAnsi="Arial" w:cs="Arial"/>
          <w:b/>
          <w:sz w:val="24"/>
          <w:szCs w:val="24"/>
        </w:rPr>
        <w:t xml:space="preserve">Předmět dotace </w:t>
      </w:r>
    </w:p>
    <w:p w:rsidR="00BB45A9" w:rsidRPr="00E65C70" w:rsidRDefault="00BB45A9" w:rsidP="00BB45A9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Podpora poradenství v zemědělství a lesnictví zaměřená na odborné konzultace formou telefonického, elektronického, písemného či osobního kontaktu na pracovišti konzultanta časově limitovaného (do 90 minut), které pomohou tazateli zodpovědět jednotlivý odborně zaměřený dotaz provozního charakteru. </w:t>
      </w:r>
    </w:p>
    <w:p w:rsidR="00BB45A9" w:rsidRPr="00E65C70" w:rsidRDefault="00BB45A9" w:rsidP="00BB45A9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 w:rsidRPr="00E65C70">
        <w:rPr>
          <w:rFonts w:ascii="Arial" w:hAnsi="Arial" w:cs="Arial"/>
          <w:b/>
          <w:sz w:val="24"/>
          <w:szCs w:val="24"/>
        </w:rPr>
        <w:t>3</w:t>
      </w:r>
      <w:r w:rsidRPr="00E65C70">
        <w:rPr>
          <w:rFonts w:ascii="Arial" w:hAnsi="Arial" w:cs="Arial"/>
          <w:b/>
          <w:spacing w:val="-4"/>
          <w:sz w:val="24"/>
          <w:szCs w:val="24"/>
        </w:rPr>
        <w:t>   </w:t>
      </w:r>
      <w:r w:rsidRPr="00E65C70">
        <w:rPr>
          <w:rFonts w:ascii="Arial" w:hAnsi="Arial" w:cs="Arial"/>
          <w:b/>
          <w:sz w:val="24"/>
          <w:szCs w:val="24"/>
        </w:rPr>
        <w:t xml:space="preserve">Žadatel </w:t>
      </w:r>
    </w:p>
    <w:p w:rsidR="00BB45A9" w:rsidRPr="00E65C70" w:rsidRDefault="00BB45A9" w:rsidP="00BB45A9">
      <w:pPr>
        <w:pStyle w:val="Bezmezer"/>
        <w:numPr>
          <w:ilvl w:val="0"/>
          <w:numId w:val="1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Resortně orientované výzkumné ústavy, které mají v předmětu činnosti poradenství a jejichž zaměření na výzkum v oblasti resortní působnosti je převažující činností. </w:t>
      </w:r>
    </w:p>
    <w:p w:rsidR="00BB45A9" w:rsidRPr="00E65C70" w:rsidRDefault="00BB45A9" w:rsidP="00BB45A9">
      <w:pPr>
        <w:pStyle w:val="Bezmezer"/>
        <w:numPr>
          <w:ilvl w:val="0"/>
          <w:numId w:val="1"/>
        </w:numPr>
        <w:ind w:left="397" w:hanging="397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Česká zemědělská univerzita v Praze, Jihočeská univerzita v Českých Budějovicích, Mendelova univerzita v Brně, Veterinární a farmaceutická univerzita Brno. </w:t>
      </w:r>
    </w:p>
    <w:p w:rsidR="00BB45A9" w:rsidRPr="00E65C70" w:rsidRDefault="00BB45A9" w:rsidP="00BB45A9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 w:rsidRPr="00E65C70">
        <w:rPr>
          <w:rFonts w:ascii="Arial" w:hAnsi="Arial" w:cs="Arial"/>
          <w:b/>
          <w:sz w:val="24"/>
          <w:szCs w:val="24"/>
        </w:rPr>
        <w:t>4</w:t>
      </w:r>
      <w:r w:rsidRPr="00E65C70">
        <w:rPr>
          <w:rFonts w:ascii="Arial" w:hAnsi="Arial" w:cs="Arial"/>
          <w:b/>
          <w:spacing w:val="-4"/>
          <w:sz w:val="24"/>
          <w:szCs w:val="24"/>
        </w:rPr>
        <w:t>   </w:t>
      </w:r>
      <w:r w:rsidRPr="00E65C70">
        <w:rPr>
          <w:rFonts w:ascii="Arial" w:hAnsi="Arial" w:cs="Arial"/>
          <w:b/>
          <w:sz w:val="24"/>
          <w:szCs w:val="24"/>
        </w:rPr>
        <w:t xml:space="preserve">Dotace </w:t>
      </w:r>
    </w:p>
    <w:p w:rsidR="00BB45A9" w:rsidRPr="00E65C70" w:rsidRDefault="00BB45A9" w:rsidP="00BB45A9">
      <w:pPr>
        <w:pStyle w:val="Bezmezer"/>
        <w:spacing w:after="120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Forma dotace: Dotace na pořízení (dříve neinvestiční). </w:t>
      </w:r>
    </w:p>
    <w:p w:rsidR="00BB45A9" w:rsidRPr="00E65C70" w:rsidRDefault="00BB45A9" w:rsidP="00BB45A9">
      <w:pPr>
        <w:pStyle w:val="Bezmezer"/>
        <w:spacing w:after="120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>Výše dotace: do výše 100 % uznatelných nákladů (počet konzultačních hodin x</w:t>
      </w:r>
      <w:r>
        <w:rPr>
          <w:rFonts w:ascii="Arial" w:hAnsi="Arial" w:cs="Arial"/>
          <w:sz w:val="24"/>
          <w:szCs w:val="24"/>
        </w:rPr>
        <w:t> </w:t>
      </w:r>
      <w:r w:rsidRPr="00E65C70">
        <w:rPr>
          <w:rFonts w:ascii="Arial" w:hAnsi="Arial" w:cs="Arial"/>
          <w:sz w:val="24"/>
          <w:szCs w:val="24"/>
        </w:rPr>
        <w:t xml:space="preserve">zúčtovací hodinová sazba) souvisejících s konzultacemi maximálně však do výše: </w:t>
      </w:r>
    </w:p>
    <w:p w:rsidR="00BB45A9" w:rsidRPr="00E65C70" w:rsidRDefault="00BB45A9" w:rsidP="00BB45A9">
      <w:pPr>
        <w:pStyle w:val="Bezmezer"/>
        <w:numPr>
          <w:ilvl w:val="0"/>
          <w:numId w:val="2"/>
        </w:numPr>
        <w:spacing w:after="120"/>
        <w:ind w:left="709" w:hanging="709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450 000 Kč/žadatele, u něhož se na řešení výzkumných projektů podílí maximálně 30 zaměstnanců. </w:t>
      </w:r>
    </w:p>
    <w:p w:rsidR="00BB45A9" w:rsidRPr="00E65C70" w:rsidRDefault="00BB45A9" w:rsidP="00BB45A9">
      <w:pPr>
        <w:pStyle w:val="Bezmezer"/>
        <w:numPr>
          <w:ilvl w:val="0"/>
          <w:numId w:val="3"/>
        </w:numPr>
        <w:ind w:hanging="720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>550 000 Kč/žadatele, u něhož se na řešení výzkumných projektů podílí minimálně 31 zaměstnanců.</w:t>
      </w:r>
      <w:r w:rsidRPr="00E65C70">
        <w:rPr>
          <w:rFonts w:ascii="Arial" w:hAnsi="Arial" w:cs="Arial"/>
          <w:b/>
          <w:sz w:val="24"/>
          <w:szCs w:val="24"/>
        </w:rPr>
        <w:t xml:space="preserve"> </w:t>
      </w:r>
    </w:p>
    <w:p w:rsidR="00BB45A9" w:rsidRPr="00E65C70" w:rsidRDefault="00BB45A9" w:rsidP="00BB45A9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 w:rsidRPr="00E65C70">
        <w:rPr>
          <w:rFonts w:ascii="Arial" w:hAnsi="Arial" w:cs="Arial"/>
          <w:b/>
          <w:sz w:val="24"/>
          <w:szCs w:val="24"/>
        </w:rPr>
        <w:t>5</w:t>
      </w:r>
      <w:r w:rsidRPr="00E65C70">
        <w:rPr>
          <w:rFonts w:ascii="Arial" w:hAnsi="Arial" w:cs="Arial"/>
          <w:b/>
          <w:spacing w:val="-4"/>
          <w:sz w:val="24"/>
          <w:szCs w:val="24"/>
        </w:rPr>
        <w:t>   </w:t>
      </w:r>
      <w:r w:rsidRPr="00E65C70">
        <w:rPr>
          <w:rFonts w:ascii="Arial" w:hAnsi="Arial" w:cs="Arial"/>
          <w:b/>
          <w:sz w:val="24"/>
          <w:szCs w:val="24"/>
        </w:rPr>
        <w:t xml:space="preserve">Podmínky poskytnutí dotace </w:t>
      </w:r>
    </w:p>
    <w:p w:rsidR="00BB45A9" w:rsidRPr="00E65C70" w:rsidRDefault="00BB45A9" w:rsidP="00BB45A9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Konzultace se musí konat v termínu od 1. 1. 2021 do 31. 12. 2021. </w:t>
      </w:r>
    </w:p>
    <w:p w:rsidR="00BB45A9" w:rsidRPr="00E65C70" w:rsidRDefault="00BB45A9" w:rsidP="00BB45A9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>Žadatel musí doložit dvě žádosti o dotaci v termínech uvedených v bodě 6 Termín příjmu žádostí o dotaci. První žádost o dotaci se dokládá v jiném termínu než doklady prokazující nárok na dotaci. Druhá žádost o dotaci se dokládá ve stejném termínu jako doklady prokazující nárok na dotaci. K první a</w:t>
      </w:r>
      <w:r>
        <w:rPr>
          <w:rFonts w:ascii="Arial" w:hAnsi="Arial" w:cs="Arial"/>
          <w:sz w:val="24"/>
          <w:szCs w:val="24"/>
        </w:rPr>
        <w:t> </w:t>
      </w:r>
      <w:r w:rsidRPr="00E65C70">
        <w:rPr>
          <w:rFonts w:ascii="Arial" w:hAnsi="Arial" w:cs="Arial"/>
          <w:sz w:val="24"/>
          <w:szCs w:val="24"/>
        </w:rPr>
        <w:t xml:space="preserve">druhé žádosti o dotaci se povinné přílohy nedokládají. Žadatel musí doložit doklady související s realizací předmětu dotace v termínech uvedených v bodě 7 Termín příjmu dokladů prokazujících nárok na dotaci. </w:t>
      </w:r>
    </w:p>
    <w:p w:rsidR="00BB45A9" w:rsidRPr="00E65C70" w:rsidRDefault="00BB45A9" w:rsidP="00BB45A9">
      <w:pPr>
        <w:pStyle w:val="Bezmezer"/>
        <w:numPr>
          <w:ilvl w:val="0"/>
          <w:numId w:val="4"/>
        </w:numPr>
        <w:spacing w:before="60"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Žadatel může od podání žádosti o dotaci až do vydání rozhodnutí svou žádost o dotaci změnit či upravit, nemůže ale navyšovat požadavek na objem finančních prostředků. </w:t>
      </w:r>
    </w:p>
    <w:p w:rsidR="00BB45A9" w:rsidRPr="00E65C70" w:rsidRDefault="00BB45A9" w:rsidP="00BB45A9">
      <w:pPr>
        <w:pStyle w:val="Bezmezer"/>
        <w:numPr>
          <w:ilvl w:val="0"/>
          <w:numId w:val="4"/>
        </w:numPr>
        <w:spacing w:before="60"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lastRenderedPageBreak/>
        <w:t xml:space="preserve">Žadatel musí poskytovat poradenství tazatelům v oblasti zemědělství v souladu s čl. 22 nařízení Komise (EU) č. 702/2014, kteří jsou </w:t>
      </w:r>
      <w:proofErr w:type="spellStart"/>
      <w:r w:rsidRPr="00E65C70">
        <w:rPr>
          <w:rFonts w:ascii="Arial" w:hAnsi="Arial" w:cs="Arial"/>
          <w:sz w:val="24"/>
          <w:szCs w:val="24"/>
        </w:rPr>
        <w:t>mikropodnik</w:t>
      </w:r>
      <w:proofErr w:type="spellEnd"/>
      <w:r w:rsidRPr="00E65C70">
        <w:rPr>
          <w:rFonts w:ascii="Arial" w:hAnsi="Arial" w:cs="Arial"/>
          <w:sz w:val="24"/>
          <w:szCs w:val="24"/>
        </w:rPr>
        <w:t>, malý či střední podnik dle definice uvedené v příloze I nařízení Komise (EU) č. 702/2014 (viz bod 2h), Část A, Obecné podmínky Zásad),  a/nebo  tazatelům v oblasti lesnictví v</w:t>
      </w:r>
      <w:r>
        <w:rPr>
          <w:rFonts w:ascii="Arial" w:hAnsi="Arial" w:cs="Arial"/>
          <w:sz w:val="24"/>
          <w:szCs w:val="24"/>
        </w:rPr>
        <w:t> </w:t>
      </w:r>
      <w:r w:rsidRPr="00E65C70">
        <w:rPr>
          <w:rFonts w:ascii="Arial" w:hAnsi="Arial" w:cs="Arial"/>
          <w:sz w:val="24"/>
          <w:szCs w:val="24"/>
        </w:rPr>
        <w:t xml:space="preserve">souladu s čl. 39 nařízení Komise (EU) č. 702/2014 bez omezení velikosti podniku. </w:t>
      </w:r>
    </w:p>
    <w:p w:rsidR="00BB45A9" w:rsidRPr="00E65C70" w:rsidRDefault="00BB45A9" w:rsidP="00BB45A9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Žadatel musí poskytovat odborné konzultace formou telefonického, elektronického, písemného či osobního kontaktu na pracovišti konzultanta. </w:t>
      </w:r>
    </w:p>
    <w:p w:rsidR="00BB45A9" w:rsidRPr="00E65C70" w:rsidRDefault="00BB45A9" w:rsidP="00BB45A9">
      <w:pPr>
        <w:pStyle w:val="Bezmezer"/>
        <w:numPr>
          <w:ilvl w:val="0"/>
          <w:numId w:val="4"/>
        </w:numPr>
        <w:spacing w:before="60"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Kombinace uvedených forem konzultací v rámci jednoho, tj. stejného tazatele za den je možná, maximálně však do výše 90 minut za každou formu konzultace. </w:t>
      </w:r>
    </w:p>
    <w:p w:rsidR="00BB45A9" w:rsidRPr="00E65C70" w:rsidRDefault="00BB45A9" w:rsidP="00BB45A9">
      <w:pPr>
        <w:pStyle w:val="Bezmezer"/>
        <w:numPr>
          <w:ilvl w:val="0"/>
          <w:numId w:val="4"/>
        </w:numPr>
        <w:spacing w:before="60"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Žadatel musí vést o poskytovaných odborných konzultacích Deník konzultací na formuláři Fondu. </w:t>
      </w:r>
    </w:p>
    <w:p w:rsidR="00BB45A9" w:rsidRPr="00E65C70" w:rsidRDefault="00BB45A9" w:rsidP="00BB45A9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Žadatel může u stejného tazatele vedeného v Deníku konzultací poskytnout poradenství formou konzultací maximálně do výše 1500 EUR za období roku 2021. </w:t>
      </w:r>
    </w:p>
    <w:p w:rsidR="00BB45A9" w:rsidRPr="00E65C70" w:rsidRDefault="00BB45A9" w:rsidP="00BB45A9">
      <w:pPr>
        <w:pStyle w:val="Bezmezer"/>
        <w:numPr>
          <w:ilvl w:val="0"/>
          <w:numId w:val="4"/>
        </w:numPr>
        <w:spacing w:before="60"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Uzavření smlouvy s tazatelem musí být v souladu se zákonem č. 89/2012 Sb., občanský zákoník a uzavření nabídky je možno učinit ústně. </w:t>
      </w:r>
    </w:p>
    <w:p w:rsidR="00BB45A9" w:rsidRPr="00E65C70" w:rsidRDefault="00BB45A9" w:rsidP="00BB45A9">
      <w:pPr>
        <w:pStyle w:val="Bezmezer"/>
        <w:numPr>
          <w:ilvl w:val="0"/>
          <w:numId w:val="4"/>
        </w:numPr>
        <w:spacing w:before="60" w:after="120"/>
        <w:ind w:left="397" w:hanging="397"/>
        <w:jc w:val="both"/>
        <w:rPr>
          <w:rFonts w:ascii="Arial" w:hAnsi="Arial" w:cs="Arial"/>
          <w:strike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Žadatel musí doložit Deník konzultací v termínech uvedených v bodě 7 Termín příjmu dokladů prokazujících nárok na dotaci. </w:t>
      </w:r>
    </w:p>
    <w:p w:rsidR="00BB45A9" w:rsidRPr="00E65C70" w:rsidRDefault="00BB45A9" w:rsidP="00BB45A9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>V dílčích zprávách žadatel musí uvést zvlášť pro oblast zemědělství a oblast lesnictví celkový počet konzultací včetně celkového počtu konzultačních hodin a</w:t>
      </w:r>
      <w:r>
        <w:rPr>
          <w:rFonts w:ascii="Arial" w:hAnsi="Arial" w:cs="Arial"/>
          <w:sz w:val="24"/>
          <w:szCs w:val="24"/>
        </w:rPr>
        <w:t> </w:t>
      </w:r>
      <w:r w:rsidRPr="00E65C70">
        <w:rPr>
          <w:rFonts w:ascii="Arial" w:hAnsi="Arial" w:cs="Arial"/>
          <w:sz w:val="24"/>
          <w:szCs w:val="24"/>
        </w:rPr>
        <w:t xml:space="preserve">minut, použité formy konzultací včetně jejich počtu, obsahové zaměření dotazů, finanční přehled zjištěný z počtu konzultačních hodin/minut a hodinové zúčtovací sazby. </w:t>
      </w:r>
    </w:p>
    <w:p w:rsidR="00BB45A9" w:rsidRPr="00E65C70" w:rsidRDefault="00BB45A9" w:rsidP="00BB45A9">
      <w:pPr>
        <w:pStyle w:val="Bezmezer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strike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>Žadatel doloží dílčí zprávy v termínech uvedených v bodě 7 Termín příjmu dokladů prokazujících nárok na dotaci.</w:t>
      </w:r>
    </w:p>
    <w:p w:rsidR="00BB45A9" w:rsidRPr="00E65C70" w:rsidRDefault="00BB45A9" w:rsidP="00BB45A9">
      <w:pPr>
        <w:pStyle w:val="Bezmezer"/>
        <w:numPr>
          <w:ilvl w:val="0"/>
          <w:numId w:val="4"/>
        </w:numPr>
        <w:spacing w:before="60"/>
        <w:ind w:left="397" w:hanging="397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Žadatel doloží s druhou dílčí zprávou i celkovou souhrnnou zprávu, ve které musí uvést zmapování kritických oblastí a činností ve výrobní praxi v resortu, za rok 2021 od 4. 1. 2022 do 14. 1. 2022. </w:t>
      </w:r>
    </w:p>
    <w:p w:rsidR="00BB45A9" w:rsidRPr="00E65C70" w:rsidRDefault="00BB45A9" w:rsidP="00BB45A9">
      <w:pPr>
        <w:pStyle w:val="Bezmezer"/>
        <w:spacing w:before="240" w:after="120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b/>
          <w:sz w:val="24"/>
          <w:szCs w:val="24"/>
        </w:rPr>
        <w:t>6</w:t>
      </w:r>
      <w:r w:rsidRPr="00E65C70">
        <w:rPr>
          <w:rFonts w:ascii="Arial" w:hAnsi="Arial" w:cs="Arial"/>
          <w:b/>
          <w:spacing w:val="-4"/>
          <w:sz w:val="24"/>
          <w:szCs w:val="24"/>
        </w:rPr>
        <w:t>   </w:t>
      </w:r>
      <w:r w:rsidRPr="00E65C70">
        <w:rPr>
          <w:rFonts w:ascii="Arial" w:hAnsi="Arial" w:cs="Arial"/>
          <w:b/>
          <w:sz w:val="24"/>
          <w:szCs w:val="24"/>
        </w:rPr>
        <w:t>Termín příjmu žádostí o dotaci</w:t>
      </w:r>
      <w:r w:rsidRPr="00E65C70">
        <w:rPr>
          <w:rFonts w:ascii="Arial" w:hAnsi="Arial" w:cs="Arial"/>
          <w:sz w:val="24"/>
          <w:szCs w:val="24"/>
        </w:rPr>
        <w:t xml:space="preserve"> </w:t>
      </w:r>
    </w:p>
    <w:p w:rsidR="00BB45A9" w:rsidRPr="00E65C70" w:rsidRDefault="00BB45A9" w:rsidP="00BB45A9">
      <w:pPr>
        <w:pStyle w:val="Bezmezer"/>
        <w:spacing w:after="120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>Příjem první žádosti o dotaci pro rok 2021 začíná 1. 12. 2020 a končí 31. 12. 2020.</w:t>
      </w:r>
    </w:p>
    <w:p w:rsidR="00BB45A9" w:rsidRPr="00E65C70" w:rsidRDefault="00BB45A9" w:rsidP="00BB45A9">
      <w:pPr>
        <w:pStyle w:val="Bezmezer"/>
        <w:spacing w:after="120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Příjem druhé žádosti o dotaci pro rok 2021 začíná 4. 1. 2022 a končí 14. 1. 2022. </w:t>
      </w:r>
    </w:p>
    <w:p w:rsidR="00BB45A9" w:rsidRPr="00E65C70" w:rsidRDefault="00BB45A9" w:rsidP="00BB45A9">
      <w:pPr>
        <w:pStyle w:val="Bezmezer"/>
        <w:spacing w:after="60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Žádost o dotaci musí být podána před zahájením realizace předmětu dotace. </w:t>
      </w:r>
    </w:p>
    <w:p w:rsidR="00BB45A9" w:rsidRPr="00E65C70" w:rsidRDefault="00BB45A9" w:rsidP="00BB45A9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>Pro rok 2022 začíná termín příjmu 1. žádosti o dotaci 1. 12. 2021 a končí 31. 12. 2021.</w:t>
      </w:r>
    </w:p>
    <w:p w:rsidR="00BB45A9" w:rsidRPr="00E65C70" w:rsidRDefault="00BB45A9" w:rsidP="00BB45A9">
      <w:pPr>
        <w:pStyle w:val="Bezmezer"/>
        <w:spacing w:before="240" w:after="120"/>
        <w:jc w:val="both"/>
        <w:rPr>
          <w:rFonts w:ascii="Arial" w:hAnsi="Arial" w:cs="Arial"/>
          <w:b/>
          <w:sz w:val="24"/>
          <w:szCs w:val="24"/>
        </w:rPr>
      </w:pPr>
      <w:r w:rsidRPr="00E65C70">
        <w:rPr>
          <w:rFonts w:ascii="Arial" w:hAnsi="Arial" w:cs="Arial"/>
          <w:b/>
          <w:sz w:val="24"/>
          <w:szCs w:val="24"/>
        </w:rPr>
        <w:t>7</w:t>
      </w:r>
      <w:r w:rsidRPr="00E65C70">
        <w:rPr>
          <w:rFonts w:ascii="Arial" w:hAnsi="Arial" w:cs="Arial"/>
          <w:b/>
          <w:spacing w:val="-4"/>
          <w:sz w:val="24"/>
          <w:szCs w:val="24"/>
        </w:rPr>
        <w:t>   </w:t>
      </w:r>
      <w:r w:rsidRPr="00E65C70">
        <w:rPr>
          <w:rFonts w:ascii="Arial" w:hAnsi="Arial" w:cs="Arial"/>
          <w:b/>
          <w:sz w:val="24"/>
          <w:szCs w:val="24"/>
        </w:rPr>
        <w:t xml:space="preserve">Termín příjmu dokladů prokazujících nárok na dotaci </w:t>
      </w:r>
    </w:p>
    <w:p w:rsidR="00BB45A9" w:rsidRPr="00E65C70" w:rsidRDefault="00BB45A9" w:rsidP="00BB45A9">
      <w:pPr>
        <w:pStyle w:val="Bezmezer"/>
        <w:spacing w:after="120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Příjem dokladů prokazujících nárok na dotaci: </w:t>
      </w:r>
    </w:p>
    <w:p w:rsidR="00BB45A9" w:rsidRPr="00E65C70" w:rsidRDefault="00BB45A9" w:rsidP="00BB45A9">
      <w:pPr>
        <w:pStyle w:val="Bezmezer"/>
        <w:numPr>
          <w:ilvl w:val="0"/>
          <w:numId w:val="5"/>
        </w:numPr>
        <w:spacing w:after="120"/>
        <w:ind w:left="284" w:hanging="284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od 1. 7. 2021 do 15. 7. 2021 za měsíce I., II., III., IV., V., VI. roku 2021, </w:t>
      </w:r>
    </w:p>
    <w:p w:rsidR="00BB45A9" w:rsidRPr="00E65C70" w:rsidRDefault="00BB45A9" w:rsidP="00BB45A9">
      <w:pPr>
        <w:pStyle w:val="Bezmezer"/>
        <w:numPr>
          <w:ilvl w:val="0"/>
          <w:numId w:val="5"/>
        </w:numPr>
        <w:ind w:left="284" w:hanging="284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od 4. 1. 2022 do 14. 1. 2022 za měsíce VII., VIII., IX., X., XI., XII. roku 2021. </w:t>
      </w:r>
    </w:p>
    <w:p w:rsidR="00BB45A9" w:rsidRPr="00E65C70" w:rsidRDefault="00BB45A9" w:rsidP="00BB45A9">
      <w:pPr>
        <w:pStyle w:val="Bezmezer"/>
        <w:spacing w:before="120"/>
        <w:jc w:val="both"/>
        <w:rPr>
          <w:rFonts w:ascii="Arial" w:hAnsi="Arial" w:cs="Arial"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t xml:space="preserve">Doklady prokazující nárok na dotaci musí být podány po ukončení realizace předmětu dotace. </w:t>
      </w:r>
    </w:p>
    <w:p w:rsidR="00BB45A9" w:rsidRPr="00E65C70" w:rsidRDefault="00BB45A9" w:rsidP="00BB45A9">
      <w:pPr>
        <w:pStyle w:val="Bezmezer"/>
        <w:spacing w:before="240" w:after="120"/>
        <w:rPr>
          <w:rFonts w:ascii="Arial" w:hAnsi="Arial" w:cs="Arial"/>
          <w:b/>
          <w:sz w:val="24"/>
          <w:szCs w:val="24"/>
        </w:rPr>
      </w:pPr>
      <w:r w:rsidRPr="00E65C70">
        <w:rPr>
          <w:rFonts w:ascii="Arial" w:hAnsi="Arial" w:cs="Arial"/>
          <w:b/>
          <w:sz w:val="24"/>
          <w:szCs w:val="24"/>
        </w:rPr>
        <w:t>8</w:t>
      </w:r>
      <w:r w:rsidRPr="00E65C70">
        <w:rPr>
          <w:rFonts w:ascii="Arial" w:hAnsi="Arial" w:cs="Arial"/>
          <w:b/>
          <w:spacing w:val="-4"/>
          <w:sz w:val="24"/>
          <w:szCs w:val="24"/>
        </w:rPr>
        <w:t>   </w:t>
      </w:r>
      <w:r w:rsidRPr="00E65C70">
        <w:rPr>
          <w:rFonts w:ascii="Arial" w:hAnsi="Arial" w:cs="Arial"/>
          <w:b/>
          <w:sz w:val="24"/>
          <w:szCs w:val="24"/>
        </w:rPr>
        <w:t xml:space="preserve">Doklady prokazující nárok na dotaci </w:t>
      </w:r>
    </w:p>
    <w:p w:rsidR="00BB45A9" w:rsidRPr="00E65C70" w:rsidRDefault="00BB45A9" w:rsidP="00BB45A9">
      <w:pPr>
        <w:pStyle w:val="Bezmezer"/>
        <w:numPr>
          <w:ilvl w:val="0"/>
          <w:numId w:val="6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strike/>
          <w:sz w:val="24"/>
          <w:szCs w:val="24"/>
        </w:rPr>
      </w:pPr>
      <w:r w:rsidRPr="00E65C70">
        <w:rPr>
          <w:rFonts w:ascii="Arial" w:hAnsi="Arial" w:cs="Arial"/>
          <w:sz w:val="24"/>
          <w:szCs w:val="24"/>
        </w:rPr>
        <w:lastRenderedPageBreak/>
        <w:t xml:space="preserve">Deník konzultací a první dílčí zprávu o konzultacích za první pololetí doložit v termínech uvedených v bodě 7 Termín příjmu dokladů prokazujících nárok na dotaci. </w:t>
      </w:r>
    </w:p>
    <w:p w:rsidR="00BB45A9" w:rsidRPr="00E65C70" w:rsidRDefault="00BB45A9" w:rsidP="00BB45A9">
      <w:pPr>
        <w:pStyle w:val="Bezmezer"/>
        <w:numPr>
          <w:ilvl w:val="0"/>
          <w:numId w:val="6"/>
        </w:numPr>
        <w:spacing w:after="120"/>
        <w:ind w:left="397" w:hanging="397"/>
        <w:jc w:val="both"/>
      </w:pPr>
      <w:r w:rsidRPr="00E65C70">
        <w:rPr>
          <w:rFonts w:ascii="Arial" w:hAnsi="Arial" w:cs="Arial"/>
          <w:sz w:val="24"/>
          <w:szCs w:val="24"/>
        </w:rPr>
        <w:t xml:space="preserve">Deník konzultací, druhou dílčí zprávu o konzultacích za druhé pololetí a celkovou souhrnnou zprávu doložit v termínech uvedených v bodě 7 Termín příjmu dokladů prokazujících nárok na dotaci. </w:t>
      </w:r>
    </w:p>
    <w:p w:rsidR="00E70CAE" w:rsidRDefault="00E70CAE" w:rsidP="00BB45A9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D403F"/>
    <w:multiLevelType w:val="hybridMultilevel"/>
    <w:tmpl w:val="EC9EF3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87831"/>
    <w:multiLevelType w:val="hybridMultilevel"/>
    <w:tmpl w:val="84AE86A6"/>
    <w:lvl w:ilvl="0" w:tplc="244CE08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b w:val="0"/>
        <w:strike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51309"/>
    <w:multiLevelType w:val="hybridMultilevel"/>
    <w:tmpl w:val="E9843180"/>
    <w:lvl w:ilvl="0" w:tplc="46B29F16">
      <w:start w:val="3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581C99"/>
    <w:multiLevelType w:val="hybridMultilevel"/>
    <w:tmpl w:val="9F4CA16A"/>
    <w:lvl w:ilvl="0" w:tplc="46B29F16">
      <w:start w:val="3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F01845"/>
    <w:multiLevelType w:val="hybridMultilevel"/>
    <w:tmpl w:val="668441E6"/>
    <w:lvl w:ilvl="0" w:tplc="46B29F16">
      <w:start w:val="3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F1B02"/>
    <w:multiLevelType w:val="hybridMultilevel"/>
    <w:tmpl w:val="9C72305A"/>
    <w:lvl w:ilvl="0" w:tplc="58EA847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b w:val="0"/>
        <w:strike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5A9"/>
    <w:rsid w:val="00BB45A9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27819"/>
  <w15:chartTrackingRefBased/>
  <w15:docId w15:val="{8F2031FF-792C-4300-9CC2-6A4605D4F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B45A9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B45A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749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2020-11-02T14:23:00Z</dcterms:created>
  <dcterms:modified xsi:type="dcterms:W3CDTF">2020-11-02T14:24:00Z</dcterms:modified>
</cp:coreProperties>
</file>