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C8C" w:rsidRPr="00E65C70" w:rsidRDefault="00BE3C8C" w:rsidP="00BE3C8C">
      <w:pPr>
        <w:pStyle w:val="Podnadpis1"/>
        <w:spacing w:after="120"/>
        <w:rPr>
          <w:rFonts w:cs="Arial"/>
          <w:color w:val="auto"/>
          <w:sz w:val="32"/>
        </w:rPr>
      </w:pPr>
      <w:bookmarkStart w:id="0" w:name="_GoBack"/>
      <w:bookmarkEnd w:id="0"/>
      <w:r w:rsidRPr="00E65C70">
        <w:rPr>
          <w:rFonts w:cs="Arial"/>
          <w:color w:val="auto"/>
          <w:sz w:val="32"/>
        </w:rPr>
        <w:t>Zásady,</w:t>
      </w:r>
    </w:p>
    <w:p w:rsidR="00BE3C8C" w:rsidRPr="00E65C70" w:rsidRDefault="00BE3C8C" w:rsidP="00BE3C8C">
      <w:pPr>
        <w:pStyle w:val="Podnadpis1"/>
        <w:spacing w:after="120"/>
        <w:rPr>
          <w:color w:val="auto"/>
        </w:rPr>
      </w:pPr>
      <w:r w:rsidRPr="00E65C70">
        <w:rPr>
          <w:rFonts w:cs="Arial"/>
          <w:color w:val="auto"/>
          <w:sz w:val="32"/>
        </w:rPr>
        <w:t>kterými se stanovují podmínky pro poskytování dotací</w:t>
      </w:r>
    </w:p>
    <w:p w:rsidR="00BE3C8C" w:rsidRPr="00E65C70" w:rsidRDefault="00BE3C8C" w:rsidP="00BE3C8C">
      <w:pPr>
        <w:pStyle w:val="Podnadpis1"/>
        <w:spacing w:after="120"/>
        <w:rPr>
          <w:color w:val="auto"/>
        </w:rPr>
      </w:pPr>
      <w:r w:rsidRPr="00E65C70">
        <w:rPr>
          <w:rFonts w:cs="Arial"/>
          <w:color w:val="auto"/>
          <w:sz w:val="32"/>
        </w:rPr>
        <w:t>pro rok 202</w:t>
      </w:r>
      <w:r>
        <w:rPr>
          <w:rFonts w:cs="Arial"/>
          <w:color w:val="auto"/>
          <w:sz w:val="32"/>
        </w:rPr>
        <w:t>2</w:t>
      </w:r>
    </w:p>
    <w:p w:rsidR="00BE3C8C" w:rsidRPr="00E65C70" w:rsidRDefault="00BE3C8C" w:rsidP="00BE3C8C">
      <w:pPr>
        <w:pStyle w:val="Podnadpis1"/>
        <w:spacing w:after="120"/>
        <w:rPr>
          <w:color w:val="auto"/>
        </w:rPr>
      </w:pPr>
      <w:r w:rsidRPr="00E65C70">
        <w:rPr>
          <w:rFonts w:cs="Arial"/>
          <w:color w:val="auto"/>
          <w:sz w:val="32"/>
        </w:rPr>
        <w:t>na základě § 1, § 2 a § 2d zákona č. 252/1997 Sb.,</w:t>
      </w:r>
    </w:p>
    <w:p w:rsidR="00BE3C8C" w:rsidRPr="00E65C70" w:rsidRDefault="00BE3C8C" w:rsidP="00BE3C8C">
      <w:pPr>
        <w:pStyle w:val="Podnadpis1"/>
        <w:spacing w:after="120"/>
        <w:rPr>
          <w:color w:val="auto"/>
        </w:rPr>
      </w:pPr>
      <w:r w:rsidRPr="00E65C70">
        <w:rPr>
          <w:rFonts w:cs="Arial"/>
          <w:color w:val="auto"/>
          <w:sz w:val="32"/>
        </w:rPr>
        <w:t>o zemědělství, ve znění pozdějších předpisů</w:t>
      </w:r>
    </w:p>
    <w:p w:rsidR="00BE3C8C" w:rsidRPr="00E65C70" w:rsidRDefault="00BE3C8C" w:rsidP="00BE3C8C">
      <w:pPr>
        <w:pStyle w:val="Podnadpis1"/>
        <w:spacing w:after="120"/>
        <w:rPr>
          <w:color w:val="auto"/>
        </w:rPr>
      </w:pPr>
      <w:r w:rsidRPr="00E65C70">
        <w:rPr>
          <w:rFonts w:cs="Arial"/>
          <w:color w:val="auto"/>
          <w:sz w:val="24"/>
        </w:rPr>
        <w:t>Č.j.</w:t>
      </w:r>
      <w:r>
        <w:rPr>
          <w:rFonts w:cs="Arial"/>
          <w:color w:val="auto"/>
          <w:sz w:val="24"/>
        </w:rPr>
        <w:t xml:space="preserve"> </w:t>
      </w:r>
      <w:r>
        <w:t>MZE-37573/2021-18131</w:t>
      </w:r>
    </w:p>
    <w:p w:rsidR="00BE3C8C" w:rsidRPr="00E65C70" w:rsidRDefault="00BE3C8C" w:rsidP="00BE3C8C">
      <w:pPr>
        <w:pStyle w:val="Nadpis2"/>
        <w:spacing w:before="240"/>
        <w:jc w:val="center"/>
      </w:pPr>
      <w:bookmarkStart w:id="1" w:name="_Toc81222939"/>
      <w:r w:rsidRPr="00E65C70">
        <w:t>Část A</w:t>
      </w:r>
      <w:bookmarkEnd w:id="1"/>
    </w:p>
    <w:p w:rsidR="00BE3C8C" w:rsidRPr="00E65C70" w:rsidRDefault="00BE3C8C" w:rsidP="00BE3C8C">
      <w:pPr>
        <w:pStyle w:val="Nadpis2"/>
        <w:spacing w:after="240"/>
        <w:jc w:val="center"/>
      </w:pPr>
      <w:bookmarkStart w:id="2" w:name="_Toc81222940"/>
      <w:r w:rsidRPr="00E65C70">
        <w:t>Obecné podmínky</w:t>
      </w:r>
      <w:bookmarkEnd w:id="2"/>
    </w:p>
    <w:p w:rsidR="00BE3C8C" w:rsidRPr="00E65C70" w:rsidRDefault="00BE3C8C" w:rsidP="00BE3C8C">
      <w:pPr>
        <w:pStyle w:val="Odstavecmj"/>
        <w:spacing w:before="120" w:after="60"/>
        <w:ind w:firstLine="0"/>
        <w:rPr>
          <w:rFonts w:ascii="Arial" w:hAnsi="Arial" w:cs="Arial"/>
          <w:szCs w:val="24"/>
        </w:rPr>
      </w:pPr>
      <w:r w:rsidRPr="00E65C70">
        <w:rPr>
          <w:rFonts w:ascii="Arial" w:hAnsi="Arial" w:cs="Arial"/>
          <w:szCs w:val="24"/>
        </w:rPr>
        <w:t>Ministerstvo zemědělství (dále jen „MZe“) na základě § 1, § 2 a § 2d zákona č. 252/1997 Sb., o zemědělství, ve znění pozdějších předpisů vydává Zásady pro rok 202</w:t>
      </w:r>
      <w:r>
        <w:rPr>
          <w:rFonts w:ascii="Arial" w:hAnsi="Arial" w:cs="Arial"/>
          <w:szCs w:val="24"/>
        </w:rPr>
        <w:t>2</w:t>
      </w:r>
      <w:r w:rsidRPr="00E65C70">
        <w:rPr>
          <w:rFonts w:ascii="Arial" w:hAnsi="Arial" w:cs="Arial"/>
          <w:szCs w:val="24"/>
        </w:rPr>
        <w:t>, kterými se stanovují podmínky pro poskytování dotací financovaných výhradně z národních zdrojů (dále jen „Zásady“), a to v návaznosti na přímo použitelné předpisy Evropské unie:</w:t>
      </w:r>
    </w:p>
    <w:p w:rsidR="00BE3C8C" w:rsidRPr="00E65C70" w:rsidRDefault="00BE3C8C" w:rsidP="00BE3C8C">
      <w:pPr>
        <w:pStyle w:val="Odstavecmj"/>
        <w:spacing w:before="60" w:after="60"/>
        <w:ind w:firstLine="0"/>
        <w:rPr>
          <w:rFonts w:ascii="Arial" w:hAnsi="Arial" w:cs="Arial"/>
          <w:szCs w:val="24"/>
        </w:rPr>
      </w:pPr>
      <w:r w:rsidRPr="00E65C70">
        <w:rPr>
          <w:rFonts w:ascii="Arial" w:eastAsia="Calibri" w:hAnsi="Arial" w:cs="Arial"/>
          <w:szCs w:val="24"/>
          <w:lang w:eastAsia="en-US"/>
        </w:rPr>
        <w:t>Hlava VII Kapitola 1 oddíl 2 Smlouvy o fungování Evropské unie,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Komise (EU) č. 702/2014, kterým se v souladu s čl. 107 a 108 Smlouvy o fungování Evropské unie prohlašují určité kategorie podpory v odvětvích zemědělství a lesnictví a ve venkovských oblastech za slučitelné s vnitřním trhem (dále jen „nařízení Komise (EU) č. 702/2014“),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Komise (EU) č. 651/2014, kterým se v souladu s články 107 a 108 Smlouvy prohlašují určité kategorie podpory za slučitelné s vnitřním trhem (dále jen „nařízení Komise (EU) č. 651/2014“),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Komise (EU) č. 1407/2013, o použití článků 107 a 108 Smlouvy o fungování Evropské unie na podporu de minimis (dále jen „nařízení Komise (EU) č. 1407/2013“),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Komise (EU) č. 1408/2013, o použití článků 107 a 108 Smlouvy o fungování Evropské unie na podporu de minimis v odvětví zemědělství (dále jen „nařízení Komise (EU) č. 1408/2013“),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Komise (EU) č. 717/2014, o použití článků 107 a 108 Smlouvy o fungování Evropské unie na podporu de minimis v odvětví rybolovu a akvakultury (dále jen „nařízení Komise (EU) č.717/2014“),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Pokyny Evropské unie ke státní podpoře v odvětvích zemědělství a lesnictví a ve venkovských oblastech na období 2014 až 2020 (2014/C 204/01) (dále jen „AGRI pokyny“),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Pokyny Evropské unie pro posuzování státní podpory v odvětví rybolovu a akvakultury</w:t>
      </w:r>
      <w:r w:rsidRPr="00E65C70" w:rsidDel="00D52E9B">
        <w:rPr>
          <w:rFonts w:cs="Arial"/>
          <w:sz w:val="24"/>
          <w:szCs w:val="24"/>
        </w:rPr>
        <w:t xml:space="preserve"> </w:t>
      </w:r>
      <w:r w:rsidRPr="00E65C70">
        <w:rPr>
          <w:rFonts w:cs="Arial"/>
          <w:sz w:val="24"/>
          <w:szCs w:val="24"/>
        </w:rPr>
        <w:t>(2015/C 217/01) </w:t>
      </w:r>
      <w:r>
        <w:rPr>
          <w:rFonts w:cs="Arial"/>
          <w:sz w:val="24"/>
          <w:szCs w:val="24"/>
        </w:rPr>
        <w:t>(dále jen „FISH pokyny“),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Při poskytování dotací se postupuje v souladu s Pokyny Evropské unie ke státní podpoře v odvětvích zemědělství a lesnictví a ve venkovských oblastech na období 2014 až 2020 (2014/C 204/01), bodu 724 a 725,</w:t>
      </w:r>
    </w:p>
    <w:p w:rsidR="00BE3C8C" w:rsidRDefault="00BE3C8C" w:rsidP="00BE3C8C">
      <w:pPr>
        <w:spacing w:before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Evropského parlamentu a Rady (EU) č. 1379/2013 ze dne 11. prosince 2013 o společné organizaci trhů s produkty rybolovu a akvakultury a o změně nařízení Rady (ES) č. 1184/2006 a (ES) č. 1224/2009 a o zrušení</w:t>
      </w:r>
      <w:r>
        <w:rPr>
          <w:rFonts w:cs="Arial"/>
          <w:sz w:val="24"/>
          <w:szCs w:val="24"/>
        </w:rPr>
        <w:t xml:space="preserve"> nařízení Rady (ES) č. 104/2000,</w:t>
      </w:r>
    </w:p>
    <w:p w:rsidR="00BE3C8C" w:rsidRPr="00E65C70" w:rsidRDefault="00BE3C8C" w:rsidP="00BE3C8C">
      <w:pPr>
        <w:spacing w:before="60"/>
        <w:jc w:val="both"/>
        <w:rPr>
          <w:rFonts w:cs="Arial"/>
          <w:sz w:val="24"/>
          <w:szCs w:val="24"/>
        </w:rPr>
      </w:pPr>
      <w:r w:rsidRPr="0007031B">
        <w:rPr>
          <w:rFonts w:cs="Arial"/>
          <w:sz w:val="24"/>
          <w:szCs w:val="24"/>
        </w:rPr>
        <w:lastRenderedPageBreak/>
        <w:t>Nařízení Evropského parlamentu a Rady (EU) 2021/1139 ze dne 7. července 2021, kterým se zřizuje Evropský námořní, rybářský a akvakulturní fond a mění nařízení (EU) 2017/1004.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</w:rPr>
        <w:br w:type="page"/>
      </w:r>
      <w:r w:rsidRPr="00E65C70">
        <w:rPr>
          <w:rFonts w:ascii="Arial" w:hAnsi="Arial" w:cs="Arial"/>
          <w:b/>
        </w:rPr>
        <w:lastRenderedPageBreak/>
        <w:t>Žádost o dotaci</w:t>
      </w:r>
    </w:p>
    <w:p w:rsidR="00BE3C8C" w:rsidRPr="00E65C70" w:rsidRDefault="00BE3C8C" w:rsidP="00BE3C8C">
      <w:pPr>
        <w:pStyle w:val="Odstavecseseznamem"/>
        <w:numPr>
          <w:ilvl w:val="0"/>
          <w:numId w:val="2"/>
        </w:numPr>
        <w:spacing w:before="120" w:after="120"/>
        <w:ind w:left="397" w:hanging="397"/>
        <w:contextualSpacing w:val="0"/>
        <w:jc w:val="both"/>
        <w:rPr>
          <w:rFonts w:ascii="Arial" w:hAnsi="Arial" w:cs="Arial"/>
          <w:strike/>
        </w:rPr>
      </w:pPr>
      <w:r w:rsidRPr="00E65C70">
        <w:rPr>
          <w:rFonts w:ascii="Arial" w:hAnsi="Arial" w:cs="Arial"/>
        </w:rPr>
        <w:t xml:space="preserve">Žádost o dotaci </w:t>
      </w:r>
      <w:r w:rsidRPr="00E65C70">
        <w:rPr>
          <w:rFonts w:ascii="Arial" w:hAnsi="Arial" w:cs="Arial"/>
          <w:lang w:val="cs-CZ"/>
        </w:rPr>
        <w:t xml:space="preserve">včetně příloh </w:t>
      </w:r>
      <w:r w:rsidRPr="00E65C70">
        <w:rPr>
          <w:rFonts w:ascii="Arial" w:hAnsi="Arial" w:cs="Arial"/>
        </w:rPr>
        <w:t>podává osoba (dále jen „žadatel“), která splňuje podmínky stanovené u jednotlivých programů, Státnímu zemědělskému intervenčnímu fondu (dále jen „Fond“) na jím vydaném formuláři prostřednictvím Portálu farmáře Fondu.</w:t>
      </w:r>
    </w:p>
    <w:p w:rsidR="00BE3C8C" w:rsidRPr="00E65C70" w:rsidRDefault="00BE3C8C" w:rsidP="00BE3C8C">
      <w:pPr>
        <w:pStyle w:val="Znaeka"/>
        <w:numPr>
          <w:ilvl w:val="0"/>
          <w:numId w:val="2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Žadatel podá žádost o dotaci v termínu určeném pro příslušný dotační program.</w:t>
      </w:r>
      <w:r>
        <w:rPr>
          <w:rFonts w:ascii="Arial" w:hAnsi="Arial" w:cs="Arial"/>
          <w:color w:val="auto"/>
          <w:szCs w:val="24"/>
        </w:rPr>
        <w:t xml:space="preserve"> </w:t>
      </w:r>
      <w:r w:rsidRPr="006A10A2">
        <w:rPr>
          <w:rFonts w:ascii="Arial" w:hAnsi="Arial" w:cs="Arial"/>
        </w:rPr>
        <w:t xml:space="preserve">Připadne-li konec termínu na sobotu, neděli nebo svátek, je posledním dnem lhůty nejbližší </w:t>
      </w:r>
      <w:r>
        <w:rPr>
          <w:rFonts w:ascii="Arial" w:hAnsi="Arial" w:cs="Arial"/>
        </w:rPr>
        <w:t xml:space="preserve">následující </w:t>
      </w:r>
      <w:r w:rsidRPr="006A10A2">
        <w:rPr>
          <w:rFonts w:ascii="Arial" w:hAnsi="Arial" w:cs="Arial"/>
        </w:rPr>
        <w:t>pracovní den</w:t>
      </w:r>
      <w:r w:rsidRPr="006A10A2">
        <w:t>.</w:t>
      </w:r>
    </w:p>
    <w:p w:rsidR="00BE3C8C" w:rsidRPr="00E65C70" w:rsidRDefault="00BE3C8C" w:rsidP="00BE3C8C">
      <w:pPr>
        <w:pStyle w:val="Znaeka"/>
        <w:numPr>
          <w:ilvl w:val="0"/>
          <w:numId w:val="2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Žádost o dotaci se podává</w:t>
      </w:r>
      <w:r w:rsidRPr="00E65C70">
        <w:rPr>
          <w:rFonts w:ascii="Arial" w:hAnsi="Arial" w:cs="Arial"/>
          <w:i/>
          <w:color w:val="auto"/>
          <w:szCs w:val="24"/>
        </w:rPr>
        <w:t xml:space="preserve"> </w:t>
      </w:r>
      <w:r w:rsidRPr="00E65C70">
        <w:rPr>
          <w:rFonts w:ascii="Arial" w:hAnsi="Arial" w:cs="Arial"/>
          <w:color w:val="auto"/>
          <w:szCs w:val="24"/>
        </w:rPr>
        <w:t>samostatně za každý dotační program</w:t>
      </w:r>
      <w:r>
        <w:rPr>
          <w:rFonts w:ascii="Arial" w:hAnsi="Arial" w:cs="Arial"/>
          <w:color w:val="auto"/>
          <w:szCs w:val="24"/>
        </w:rPr>
        <w:t>/</w:t>
      </w:r>
      <w:r w:rsidRPr="00086B15">
        <w:rPr>
          <w:rFonts w:ascii="Arial" w:hAnsi="Arial" w:cs="Arial"/>
          <w:color w:val="auto"/>
          <w:szCs w:val="24"/>
        </w:rPr>
        <w:t>podprogram,</w:t>
      </w:r>
      <w:r w:rsidRPr="00E65C70">
        <w:rPr>
          <w:rFonts w:ascii="Arial" w:hAnsi="Arial" w:cs="Arial"/>
          <w:color w:val="auto"/>
          <w:szCs w:val="24"/>
        </w:rPr>
        <w:t xml:space="preserve"> pokud není u jednotlivých programů uvedeno jinak.</w:t>
      </w:r>
    </w:p>
    <w:p w:rsidR="00BE3C8C" w:rsidRPr="00E65C70" w:rsidRDefault="00BE3C8C" w:rsidP="00BE3C8C">
      <w:pPr>
        <w:pStyle w:val="Odstavecseseznamem"/>
        <w:numPr>
          <w:ilvl w:val="0"/>
          <w:numId w:val="2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 xml:space="preserve">U </w:t>
      </w:r>
      <w:r w:rsidRPr="00E65C70">
        <w:rPr>
          <w:rFonts w:ascii="Arial" w:hAnsi="Arial" w:cs="Arial"/>
          <w:lang w:val="cs-CZ"/>
        </w:rPr>
        <w:t xml:space="preserve">dotačních </w:t>
      </w:r>
      <w:r w:rsidRPr="00E65C70">
        <w:rPr>
          <w:rFonts w:ascii="Arial" w:hAnsi="Arial" w:cs="Arial"/>
        </w:rPr>
        <w:t xml:space="preserve">programů </w:t>
      </w:r>
      <w:r w:rsidRPr="00E65C70">
        <w:rPr>
          <w:rFonts w:ascii="Arial" w:hAnsi="Arial" w:cs="Arial"/>
          <w:lang w:val="cs-CZ"/>
        </w:rPr>
        <w:t>zakládajících veřejnou podporu ve smyslu článku 107 odst.1 Smlouvy o fungování EU, u kterých je dána povinnost plnit motivační účinek (dále jen „dotační programy s motivačním účinkem“),</w:t>
      </w:r>
      <w:r w:rsidRPr="00E65C70">
        <w:rPr>
          <w:rFonts w:ascii="Arial" w:hAnsi="Arial" w:cs="Arial"/>
        </w:rPr>
        <w:t xml:space="preserve"> se žádost o dotaci podává před zahájením činnosti nebo zahájením práce na projektu, v souladu s čl. 6 nařízení Komise (EU) č. 702/2014, čl. 6 nařízení Komise (EU) č. 651/2014 nebo bodem 3.4 kapitoly 3 AGRI pokynů nebo čl. 3.6 FISH pokynů.</w:t>
      </w:r>
    </w:p>
    <w:p w:rsidR="00BE3C8C" w:rsidRPr="00E65C70" w:rsidRDefault="00BE3C8C" w:rsidP="00BE3C8C">
      <w:pPr>
        <w:pStyle w:val="Znaeka"/>
        <w:numPr>
          <w:ilvl w:val="0"/>
          <w:numId w:val="2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Není-li u příslušného dotačního programu uvedeno jinak, podávají se veškeré povinné přílohy k žádosti o dotaci prostřednictví</w:t>
      </w:r>
      <w:r w:rsidRPr="00B0732C">
        <w:rPr>
          <w:rFonts w:ascii="Arial" w:hAnsi="Arial" w:cs="Arial"/>
          <w:color w:val="auto"/>
          <w:szCs w:val="24"/>
        </w:rPr>
        <w:t>m</w:t>
      </w:r>
      <w:r w:rsidRPr="00E65C70">
        <w:rPr>
          <w:rFonts w:ascii="Arial" w:hAnsi="Arial" w:cs="Arial"/>
          <w:color w:val="auto"/>
          <w:szCs w:val="24"/>
        </w:rPr>
        <w:t xml:space="preserve"> Portálu farmáře Fondu. Originály veškerých povinných příloh k žádosti o dotaci </w:t>
      </w:r>
      <w:r>
        <w:rPr>
          <w:rFonts w:ascii="Arial" w:hAnsi="Arial" w:cs="Arial"/>
          <w:color w:val="auto"/>
          <w:szCs w:val="24"/>
        </w:rPr>
        <w:t>jsou uchovávány žadatelem k případné kontrole.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Podmínky poskytnutí dotace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Dotaci lze poskytnout na základě podané žádosti o dotaci pouze žadateli, který splňuje obecné podmínky a podmínky pro příslušný dotační program.</w:t>
      </w:r>
    </w:p>
    <w:p w:rsidR="00BE3C8C" w:rsidRPr="005921BD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strike/>
          <w:color w:val="auto"/>
          <w:szCs w:val="24"/>
        </w:rPr>
      </w:pPr>
      <w:r w:rsidRPr="005921BD">
        <w:rPr>
          <w:rFonts w:ascii="Arial" w:hAnsi="Arial" w:cs="Arial"/>
          <w:color w:val="auto"/>
          <w:szCs w:val="24"/>
        </w:rPr>
        <w:t xml:space="preserve">Žadatelem </w:t>
      </w:r>
      <w:r w:rsidRPr="005921BD">
        <w:rPr>
          <w:rFonts w:ascii="Arial" w:eastAsia="Calibri" w:hAnsi="Arial" w:cs="Arial"/>
          <w:color w:val="auto"/>
          <w:szCs w:val="24"/>
          <w:lang w:eastAsia="en-US"/>
        </w:rPr>
        <w:t>nemůže b</w:t>
      </w:r>
      <w:r w:rsidRPr="005921BD">
        <w:rPr>
          <w:rFonts w:ascii="Arial" w:hAnsi="Arial" w:cs="Arial"/>
          <w:color w:val="auto"/>
          <w:szCs w:val="24"/>
        </w:rPr>
        <w:t>ýt subjekt, který nemá trvalý pobyt, případně sídlo na území České republiky nebo neprokáže, že oprávněně podniká na území České republiky.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 xml:space="preserve">Žadatelem nemůže být společnost vzniklá podle § 2716 zákona č. 89/2012 Sb., občanského zákoníku, </w:t>
      </w:r>
      <w:r w:rsidRPr="00B0732C">
        <w:rPr>
          <w:rFonts w:ascii="Arial" w:hAnsi="Arial" w:cs="Arial"/>
          <w:color w:val="auto"/>
          <w:szCs w:val="24"/>
        </w:rPr>
        <w:t>ve znění pozdějších předpisů</w:t>
      </w:r>
      <w:r w:rsidRPr="001D5714">
        <w:rPr>
          <w:rFonts w:ascii="Arial" w:hAnsi="Arial" w:cs="Arial"/>
          <w:color w:val="auto"/>
          <w:szCs w:val="24"/>
        </w:rPr>
        <w:t>, a</w:t>
      </w:r>
      <w:r>
        <w:rPr>
          <w:rFonts w:ascii="Arial" w:hAnsi="Arial" w:cs="Arial"/>
          <w:color w:val="auto"/>
          <w:szCs w:val="24"/>
        </w:rPr>
        <w:t xml:space="preserve"> </w:t>
      </w:r>
      <w:r w:rsidRPr="00E65C70">
        <w:rPr>
          <w:rFonts w:ascii="Arial" w:hAnsi="Arial" w:cs="Arial"/>
          <w:color w:val="auto"/>
          <w:szCs w:val="24"/>
        </w:rPr>
        <w:t xml:space="preserve">organizační složka státu. Dále žadatelem nemohou být subjekty v působnosti Ministerstva obrany, Ministerstva průmyslu a obchodu, Ministerstva životního prostředí, Ministerstva vnitra, Ministerstva pro místní rozvoj, Ministerstva školství, mládeže a tělovýchovy, kromě níže uvedených: Česká zemědělská univerzita v Praze, Jihočeská univerzita v Českých Budějovicích, Mendelova univerzita v Brně, </w:t>
      </w:r>
      <w:r w:rsidRPr="00086B15">
        <w:rPr>
          <w:rFonts w:ascii="Arial" w:hAnsi="Arial" w:cs="Arial"/>
          <w:color w:val="auto"/>
          <w:szCs w:val="24"/>
        </w:rPr>
        <w:t>Veterinární univerzita Brno, Krajské školní hospodářství České Budějovice, Střední rybářská škola a Vyšší odborná škola vodního hospodářství a ekologie, Vodňany, veřejné výzkumné ústavy, veřejné organizace zabývající se správou veřejného majetku, střední školy,</w:t>
      </w:r>
      <w:r w:rsidRPr="00E65C70">
        <w:rPr>
          <w:rFonts w:ascii="Arial" w:hAnsi="Arial" w:cs="Arial"/>
          <w:color w:val="auto"/>
          <w:szCs w:val="24"/>
        </w:rPr>
        <w:t xml:space="preserve"> školní podniky, </w:t>
      </w:r>
      <w:r>
        <w:rPr>
          <w:rFonts w:ascii="Arial" w:hAnsi="Arial" w:cs="Arial"/>
          <w:color w:val="auto"/>
          <w:szCs w:val="24"/>
        </w:rPr>
        <w:t xml:space="preserve">školní </w:t>
      </w:r>
      <w:r w:rsidRPr="00E65C70">
        <w:rPr>
          <w:rFonts w:ascii="Arial" w:hAnsi="Arial" w:cs="Arial"/>
          <w:color w:val="auto"/>
          <w:szCs w:val="24"/>
        </w:rPr>
        <w:t xml:space="preserve">statky a školní </w:t>
      </w:r>
      <w:r w:rsidRPr="007544CF">
        <w:rPr>
          <w:rFonts w:ascii="Arial" w:hAnsi="Arial" w:cs="Arial"/>
          <w:szCs w:val="24"/>
        </w:rPr>
        <w:t>hospodářství (popř. subjekt, do jehož organizační struktury jsou začleněny) poskytující praktickou výuku žákům</w:t>
      </w:r>
      <w:r w:rsidRPr="00E65C70">
        <w:rPr>
          <w:rFonts w:ascii="Arial" w:hAnsi="Arial" w:cs="Arial"/>
          <w:color w:val="auto"/>
          <w:szCs w:val="24"/>
        </w:rPr>
        <w:t xml:space="preserve"> ve skupině oborů – 29 Potravinářství, 41 Zemědělství a lesnictví a 43 Veterinářství, pokud není u jednotlivých programů uvedeno jinak.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 xml:space="preserve">Žadatelem nemůže být subjekt, který obdržel v příslušném roce na účel a na předmět, pro který je požadována dotace, úvěr s podporou Podpůrného a garančního rolnického a lesnického fondu, a. s. (dále jen „PGRLF“) nebo dotaci či příspěvek z rozpočtu kapitoly MZe, dotaci z jiných rozpočtových kapitol státního rozpočtu, dotaci z rozpočtu státního fondu nebo dotaci z rozpočtu územního </w:t>
      </w:r>
      <w:r w:rsidRPr="00E65C70">
        <w:rPr>
          <w:rFonts w:ascii="Arial" w:hAnsi="Arial" w:cs="Arial"/>
          <w:color w:val="auto"/>
          <w:szCs w:val="24"/>
        </w:rPr>
        <w:lastRenderedPageBreak/>
        <w:t>samosprávného celku nebo fondů EU, pokud není u jednotlivých programů uvedeno jinak.</w:t>
      </w:r>
    </w:p>
    <w:p w:rsidR="00BE3C8C" w:rsidRPr="00E65C70" w:rsidRDefault="00BE3C8C" w:rsidP="00BE3C8C">
      <w:pPr>
        <w:pStyle w:val="Odstavecseseznamem"/>
        <w:numPr>
          <w:ilvl w:val="0"/>
          <w:numId w:val="11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Žadatelem nemůže být subjekt, vůči kterému bylo vydáno soudem rozhodnutí o úpadku a způsobu jeho řešení podle zákona č. 182/2006 Sb., o úpadku a způsobech jeho řešení (insolvenční zákon), ve znění pozdějších předpisů</w:t>
      </w:r>
      <w:r>
        <w:rPr>
          <w:rFonts w:ascii="Arial" w:hAnsi="Arial" w:cs="Arial"/>
          <w:lang w:val="cs-CZ"/>
        </w:rPr>
        <w:t>,</w:t>
      </w:r>
      <w:r w:rsidRPr="00E65C70">
        <w:rPr>
          <w:rFonts w:ascii="Arial" w:hAnsi="Arial" w:cs="Arial"/>
        </w:rPr>
        <w:t xml:space="preserve"> nebo je v likvidaci.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 xml:space="preserve">Žadatelem nemůže být subjekt, který je podnikem v obtížích ve smyslu článku 2 odst. 14 nařízení Komise (EU) č. 702/2014, resp. článku 2 odst. 18 nařízení Komise (EU) č. 651/2014, resp. bodu (35) odst. 15 AGRI pokynů. 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eastAsia="Calibri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Žadatelem nemůže být subjekt, vůči němuž je vystaven dosud nesplacený inkasní příkaz v návaznosti na rozhodnutí Komise, jímž je podpora prohlášena za protiprávní a neslučitelnou s vnitřním trhem.</w:t>
      </w:r>
    </w:p>
    <w:p w:rsidR="00BE3C8C" w:rsidRPr="005921BD" w:rsidRDefault="00BE3C8C" w:rsidP="00BE3C8C">
      <w:pPr>
        <w:pStyle w:val="Znaeka"/>
        <w:numPr>
          <w:ilvl w:val="0"/>
          <w:numId w:val="11"/>
        </w:numPr>
        <w:autoSpaceDE w:val="0"/>
        <w:autoSpaceDN w:val="0"/>
        <w:adjustRightInd w:val="0"/>
        <w:spacing w:before="120" w:after="0"/>
        <w:ind w:left="397" w:hanging="397"/>
        <w:rPr>
          <w:rFonts w:ascii="Arial" w:eastAsia="Calibri" w:hAnsi="Arial" w:cs="Arial"/>
          <w:color w:val="auto"/>
          <w:spacing w:val="-4"/>
          <w:szCs w:val="24"/>
        </w:rPr>
      </w:pPr>
      <w:r w:rsidRPr="005921BD">
        <w:rPr>
          <w:rFonts w:ascii="Arial" w:hAnsi="Arial" w:cs="Arial"/>
          <w:color w:val="auto"/>
          <w:spacing w:val="-4"/>
          <w:szCs w:val="24"/>
        </w:rPr>
        <w:t>U dotačních programů, u kterých se podpora poskytuje podle nařízení Komise (EU) č. 702/2014 nebo nařízení Komise (EU) č. 651/2014 nebo AGRI pokynů nebo FISH pokynů, je žadatel povinen se zařadit do kategorie mikropodniků, malých, středních nebo velkých podniků, mimo dotačního programu 9.F.e. Regionální přenos informací a 9.F.i. Odborné konzultace (podpora se vyplácí subjektu zajišťujícímu předávání znalostí a informační akce/poskytovateli poradenských služeb, nikoliv mikropodniku, malému nebo střednímu podniku působícímu v odvětví zemědělství). Při posuzování velikosti podniku žadatel postupuje podle definice uvedené v příloze I nařízení Komise (EU) č. 702/2014 a také podle Uživatelské příručky k definici malých a středních podniků vydané Evropskou komisí (</w:t>
      </w:r>
      <w:hyperlink r:id="rId5" w:history="1">
        <w:r w:rsidRPr="005921BD">
          <w:rPr>
            <w:rStyle w:val="Hypertextovodkaz"/>
            <w:rFonts w:ascii="Arial" w:hAnsi="Arial" w:cs="Arial"/>
            <w:color w:val="auto"/>
            <w:spacing w:val="-4"/>
            <w:szCs w:val="24"/>
          </w:rPr>
          <w:t>https://ec.europa.eu/docsroom/documents/15582/attachments/1/translations/cs/renditions/native</w:t>
        </w:r>
      </w:hyperlink>
      <w:r w:rsidRPr="005921BD">
        <w:rPr>
          <w:rFonts w:ascii="Arial" w:hAnsi="Arial" w:cs="Arial"/>
          <w:color w:val="auto"/>
          <w:spacing w:val="-4"/>
          <w:szCs w:val="24"/>
        </w:rPr>
        <w:t>).</w:t>
      </w:r>
      <w:r w:rsidRPr="005921BD">
        <w:rPr>
          <w:rFonts w:ascii="Arial" w:hAnsi="Arial" w:cs="Arial"/>
          <w:color w:val="auto"/>
          <w:szCs w:val="24"/>
        </w:rPr>
        <w:t xml:space="preserve"> </w:t>
      </w:r>
      <w:r w:rsidRPr="005921BD">
        <w:rPr>
          <w:rFonts w:ascii="Arial" w:eastAsia="Calibri" w:hAnsi="Arial" w:cs="Arial"/>
          <w:color w:val="auto"/>
          <w:szCs w:val="24"/>
        </w:rPr>
        <w:t xml:space="preserve">Velké podniky dále musí v žádosti o dotaci popsat situaci, jež by nastala </w:t>
      </w:r>
      <w:r w:rsidRPr="005921BD">
        <w:rPr>
          <w:rFonts w:ascii="Arial" w:eastAsia="Calibri" w:hAnsi="Arial" w:cs="Arial"/>
          <w:color w:val="auto"/>
          <w:spacing w:val="-4"/>
          <w:szCs w:val="24"/>
        </w:rPr>
        <w:t xml:space="preserve">v případě, že by podpora nebyla poskytnuta, tedy hypotetický srovnávací scénář nebo uvést alternativní projekt nebo činnost a předložit doklady, z nichž vychází hypotetické srovnání uvedené v žádosti o dotaci. </w:t>
      </w:r>
    </w:p>
    <w:p w:rsidR="00BE3C8C" w:rsidRPr="005921BD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5921BD">
        <w:rPr>
          <w:rFonts w:ascii="Arial" w:hAnsi="Arial" w:cs="Arial"/>
          <w:color w:val="auto"/>
          <w:szCs w:val="24"/>
        </w:rPr>
        <w:t>Dotace se stanovuje na základě sazby (dále „dotace sazbová“), nebo dle skutečně vynaložených uznatelných nákladů (dále „dotace nákladů“), a to v rozsahu uvedeném v jednotlivých programech.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U dotačních programů nebo podprogramů, případně předmětů dotace, u kterých je uvedeno „výše dotace do“, bude všem žadatelům poskytnuta stejná výše sazby nebo stejná výše procent.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eastAsia="Calibri" w:hAnsi="Arial" w:cs="Arial"/>
          <w:color w:val="auto"/>
          <w:szCs w:val="24"/>
        </w:rPr>
        <w:t xml:space="preserve">Plátce DPH může uplatnit nárok na odpočet daně z prokázaných nákladů použitých v rámci své ekonomické činnosti podle zákona č. 235/2004 Sb., o dani z přidané hodnoty, ve znění pozdějších předpisů, zejména podle ustanovení § 72 až § 79 uvedeného zákona. </w:t>
      </w:r>
      <w:r w:rsidRPr="00E65C70">
        <w:rPr>
          <w:rFonts w:ascii="Arial" w:hAnsi="Arial" w:cs="Arial"/>
          <w:color w:val="auto"/>
          <w:szCs w:val="24"/>
        </w:rPr>
        <w:t xml:space="preserve">Při uskutečňování ekonomické činnosti se prokázané náklady hradí v úrovni včetně daně z přidané hodnoty (dále jen „DPH“) pro neplátce DPH a v úrovni bez DPH u plátců. U nákladů použitých mimo ekonomickou činnost se prokazatelné náklady hradí v úrovni včetně DPH, pokud není u konkrétního dotačního programu uvedeno jinak. </w:t>
      </w:r>
    </w:p>
    <w:p w:rsidR="00BE3C8C" w:rsidRPr="00015D3F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015D3F">
        <w:rPr>
          <w:rFonts w:ascii="Arial" w:eastAsia="Calibri" w:hAnsi="Arial" w:cs="Arial"/>
          <w:color w:val="auto"/>
          <w:szCs w:val="24"/>
        </w:rPr>
        <w:t xml:space="preserve">Uznatelné náklady musí být uhrazeny do konce termínu příjmu dokladů prokazujících nárok na dotaci, </w:t>
      </w:r>
      <w:r w:rsidRPr="00015D3F">
        <w:rPr>
          <w:rFonts w:ascii="Arial" w:hAnsi="Arial" w:cs="Arial"/>
          <w:color w:val="auto"/>
          <w:szCs w:val="24"/>
        </w:rPr>
        <w:t>pokud není u konkrétního dotačního programu uvedeno jinak.</w:t>
      </w:r>
    </w:p>
    <w:p w:rsidR="00BE3C8C" w:rsidRPr="00E65C70" w:rsidRDefault="00BE3C8C" w:rsidP="00BE3C8C">
      <w:pPr>
        <w:numPr>
          <w:ilvl w:val="0"/>
          <w:numId w:val="11"/>
        </w:numPr>
        <w:spacing w:before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Pokud je platba provedena v jiné měně než CZK a kurz nebude uveden na dokladu prokazujícím uhrazení skutečně vynaložených uznatelných nákladů, žadatel </w:t>
      </w:r>
      <w:r w:rsidRPr="00E65C70">
        <w:rPr>
          <w:rFonts w:cs="Arial"/>
          <w:sz w:val="24"/>
          <w:szCs w:val="24"/>
        </w:rPr>
        <w:lastRenderedPageBreak/>
        <w:t>použije kurz České národní banky (kurz devizového trhu) platný v den odečtu částky z bankovního účtu žadatele.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eastAsia="Calibri" w:hAnsi="Arial" w:cs="Arial"/>
          <w:color w:val="auto"/>
          <w:szCs w:val="24"/>
        </w:rPr>
        <w:t>Pokud žadatel u dotačních programů s motivačním účinkem nepodá žádost o dotaci podle bodu 1 písm. d) před zahájením činnosti nebo zahájením práce na projektu, Fond žádost o dotaci zamítne.</w:t>
      </w:r>
    </w:p>
    <w:p w:rsidR="00BE3C8C" w:rsidRPr="00A72F36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eastAsia="Calibri" w:hAnsi="Arial" w:cs="Arial"/>
          <w:color w:val="auto"/>
          <w:szCs w:val="24"/>
        </w:rPr>
        <w:t>Žadatel odpovídá za to, že všechny jím uvedené údaje na žádosti o dotaci jsou úplné a pravdivé a že účel, na který mu bude poskytnuta dotace, splní v rozsahu a do termínu, který je určen Zásadami.</w:t>
      </w:r>
    </w:p>
    <w:p w:rsidR="00BE3C8C" w:rsidRPr="00366DFA" w:rsidRDefault="00BE3C8C" w:rsidP="00BE3C8C">
      <w:pPr>
        <w:pStyle w:val="Znaeka"/>
        <w:numPr>
          <w:ilvl w:val="0"/>
          <w:numId w:val="12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366DFA">
        <w:rPr>
          <w:rFonts w:ascii="Arial" w:hAnsi="Arial" w:cs="Arial"/>
          <w:color w:val="auto"/>
          <w:szCs w:val="24"/>
        </w:rPr>
        <w:t xml:space="preserve">Dotaci nelze poskytnout v případě, pokud bylo ze strany žadatele či s jeho vědomím třetí osobou podáno nepravdivé prohlášení nebo nepravdivý důkaz a/nebo v případě, že žadatel vlastní nedbalostí neposkytl potřebné informace a/nebo v případě, že podmínky stanovené pro získání dotace žadatel vytvoří tak, aby získal výhodu, která není v souladu s cíli a podmínkami Zásad. 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Změny žádosti o dotaci, změna žadatele</w:t>
      </w:r>
    </w:p>
    <w:p w:rsidR="00BE3C8C" w:rsidRPr="00E65C70" w:rsidRDefault="00BE3C8C" w:rsidP="00BE3C8C">
      <w:pPr>
        <w:pStyle w:val="Znaeka"/>
        <w:numPr>
          <w:ilvl w:val="0"/>
          <w:numId w:val="3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Žadatel může od podání žádosti o dotaci až do vydání rozhodnutí svou žádost o dotaci změnit či upravit, přičemž výše dotace je stanovena na základě žadatelem předloženého formuláře s doklady prokazujícími nárok na dotaci, pokud není u jednotlivých programů uvedeno jinak. Po oznámení či zahájení kontroly na místě není změna nebo doplnění žádosti o dotaci (předmětu dotace) přípustná.</w:t>
      </w:r>
    </w:p>
    <w:p w:rsidR="00BE3C8C" w:rsidRPr="00E65C70" w:rsidRDefault="00BE3C8C" w:rsidP="00BE3C8C">
      <w:pPr>
        <w:pStyle w:val="Znaeka"/>
        <w:numPr>
          <w:ilvl w:val="0"/>
          <w:numId w:val="3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Jestliže žadatel zemřel nebo zanikl a právní nástupce žadatele pokračuje v zahájeném řízení o žádosti o dotaci, oznámí právní nástupce žadatele tuto skutečnost Fondu.</w:t>
      </w:r>
    </w:p>
    <w:p w:rsidR="00BE3C8C" w:rsidRPr="00E65C70" w:rsidRDefault="00BE3C8C" w:rsidP="00BE3C8C">
      <w:pPr>
        <w:pStyle w:val="Znaeka"/>
        <w:numPr>
          <w:ilvl w:val="0"/>
          <w:numId w:val="3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Jestliže dojde k převodu obchodního závodu v době zahájeného řízení o žádosti o dotaci nebo v době trvání plnění podmínek dotace, oznámí nabyvatel tuto skutečnost Fondu.</w:t>
      </w:r>
    </w:p>
    <w:p w:rsidR="00BE3C8C" w:rsidRPr="00E8131E" w:rsidRDefault="00BE3C8C" w:rsidP="00BE3C8C">
      <w:pPr>
        <w:pStyle w:val="Znaeka"/>
        <w:numPr>
          <w:ilvl w:val="0"/>
          <w:numId w:val="3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8131E">
        <w:rPr>
          <w:rFonts w:ascii="Arial" w:hAnsi="Arial" w:cs="Arial"/>
          <w:color w:val="auto"/>
          <w:szCs w:val="24"/>
        </w:rPr>
        <w:t>Změnu žadatele a zásah vyšší moci a mimořádných okolností v případě dotačních programů, u kterých je to ve znění jejich podmínek uvedeno, žadatel oznamuje Fondu prostřednictvím Portálu farmáře na formuláři k tomu určeném (Ohlášení vyšší moci, Ohlášení změny žadatele) a doloží k tomu příslušné doklady.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Doložení dokladů prokazujících nárok na dotaci</w:t>
      </w:r>
    </w:p>
    <w:p w:rsidR="00BE3C8C" w:rsidRPr="006A10A2" w:rsidRDefault="00BE3C8C" w:rsidP="00BE3C8C">
      <w:pPr>
        <w:pStyle w:val="Znaeka"/>
        <w:numPr>
          <w:ilvl w:val="0"/>
          <w:numId w:val="4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6A10A2">
        <w:rPr>
          <w:rFonts w:ascii="Arial" w:hAnsi="Arial" w:cs="Arial"/>
          <w:color w:val="auto"/>
          <w:szCs w:val="24"/>
        </w:rPr>
        <w:t xml:space="preserve">Doklady stanovené pro jednotlivé programy, které prokazují nárok na dotaci, podá žadatel Fondu prostřednictvím formuláře přes Portál farmáře Fondu ve lhůtě stanovené pro jednotlivé programy. </w:t>
      </w:r>
      <w:r w:rsidRPr="006A10A2">
        <w:rPr>
          <w:rFonts w:ascii="Arial" w:hAnsi="Arial" w:cs="Arial"/>
        </w:rPr>
        <w:t xml:space="preserve">Připadne-li konec termínu na sobotu, neděli nebo svátek, je posledním dnem lhůty nejbližší </w:t>
      </w:r>
      <w:r>
        <w:rPr>
          <w:rFonts w:ascii="Arial" w:hAnsi="Arial" w:cs="Arial"/>
        </w:rPr>
        <w:t xml:space="preserve">následující </w:t>
      </w:r>
      <w:r w:rsidRPr="006A10A2">
        <w:rPr>
          <w:rFonts w:ascii="Arial" w:hAnsi="Arial" w:cs="Arial"/>
        </w:rPr>
        <w:t>pracovní den.</w:t>
      </w:r>
    </w:p>
    <w:p w:rsidR="00BE3C8C" w:rsidRPr="00015D3F" w:rsidRDefault="00BE3C8C" w:rsidP="00BE3C8C">
      <w:pPr>
        <w:pStyle w:val="Znaeka"/>
        <w:numPr>
          <w:ilvl w:val="0"/>
          <w:numId w:val="4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015D3F">
        <w:rPr>
          <w:rFonts w:ascii="Arial" w:hAnsi="Arial" w:cs="Arial"/>
          <w:color w:val="auto"/>
          <w:szCs w:val="24"/>
        </w:rPr>
        <w:t xml:space="preserve">U dotačních programů s motivačním účinkem, u kterých žadatel podal nebo podá Fondu žádost o dotaci v roce </w:t>
      </w:r>
      <w:r>
        <w:rPr>
          <w:rFonts w:ascii="Arial" w:hAnsi="Arial" w:cs="Arial"/>
          <w:color w:val="auto"/>
          <w:szCs w:val="24"/>
        </w:rPr>
        <w:t>2021,</w:t>
      </w:r>
      <w:r w:rsidRPr="00015D3F">
        <w:rPr>
          <w:rFonts w:ascii="Arial" w:hAnsi="Arial" w:cs="Arial"/>
          <w:color w:val="auto"/>
          <w:szCs w:val="24"/>
        </w:rPr>
        <w:t xml:space="preserve"> doručí žadatel Fondu doklad prokazující nárok na dotaci dle těchto Zásad.</w:t>
      </w:r>
    </w:p>
    <w:p w:rsidR="00BE3C8C" w:rsidRPr="00015D3F" w:rsidRDefault="00BE3C8C" w:rsidP="00BE3C8C">
      <w:pPr>
        <w:pStyle w:val="Znaeka"/>
        <w:numPr>
          <w:ilvl w:val="0"/>
          <w:numId w:val="4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015D3F">
        <w:rPr>
          <w:rFonts w:ascii="Arial" w:hAnsi="Arial" w:cs="Arial"/>
          <w:color w:val="auto"/>
          <w:szCs w:val="24"/>
        </w:rPr>
        <w:t xml:space="preserve">U dotačních programů s motivačním účinkem, u kterých žadatel podal nebo podá Fondu žádost o dotaci podle Zásad pro rok </w:t>
      </w:r>
      <w:r>
        <w:rPr>
          <w:rFonts w:ascii="Arial" w:hAnsi="Arial" w:cs="Arial"/>
          <w:color w:val="auto"/>
          <w:szCs w:val="24"/>
        </w:rPr>
        <w:t>2021</w:t>
      </w:r>
      <w:r w:rsidRPr="00015D3F">
        <w:rPr>
          <w:rFonts w:ascii="Arial" w:hAnsi="Arial" w:cs="Arial"/>
          <w:color w:val="auto"/>
          <w:szCs w:val="24"/>
        </w:rPr>
        <w:t>, podá žadatel doklady prokazující nárok na dotaci dle těchto Zásad.</w:t>
      </w:r>
    </w:p>
    <w:p w:rsidR="00BE3C8C" w:rsidRPr="00E65C70" w:rsidRDefault="00BE3C8C" w:rsidP="00BE3C8C">
      <w:pPr>
        <w:pStyle w:val="Znaeka"/>
        <w:numPr>
          <w:ilvl w:val="0"/>
          <w:numId w:val="4"/>
        </w:numPr>
        <w:spacing w:before="120" w:after="120"/>
        <w:ind w:left="397" w:hanging="397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Není-li u příslušného dotačního programu uvedeno jinak, podávají se veškeré povinné přílohy k dokladům prokazujícím nárok na dotaci prostřednictvím Portálu </w:t>
      </w:r>
      <w:r w:rsidRPr="00E65C70">
        <w:rPr>
          <w:rFonts w:ascii="Arial" w:hAnsi="Arial" w:cs="Arial"/>
          <w:color w:val="auto"/>
        </w:rPr>
        <w:lastRenderedPageBreak/>
        <w:t>farmáře Fondu. Originály veškerých povinných příloh k dokladům prokazujícím nárok na dotaci uchovává žadatel.</w:t>
      </w:r>
    </w:p>
    <w:p w:rsidR="00BE3C8C" w:rsidRPr="00E65C70" w:rsidRDefault="00BE3C8C" w:rsidP="00BE3C8C">
      <w:pPr>
        <w:pStyle w:val="Znaeka"/>
        <w:numPr>
          <w:ilvl w:val="0"/>
          <w:numId w:val="9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K dokladům prokazujícím nárok na dotaci doručeným Fondu po stanovené lhůtě se nepřihlíží.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Kontrola dodržování Zásad</w:t>
      </w:r>
    </w:p>
    <w:p w:rsidR="00BE3C8C" w:rsidRPr="00E65C70" w:rsidRDefault="00BE3C8C" w:rsidP="00BE3C8C">
      <w:pPr>
        <w:pStyle w:val="Znaeka"/>
        <w:numPr>
          <w:ilvl w:val="0"/>
          <w:numId w:val="5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 xml:space="preserve">Před poskytnutím dotace provádí Fond administrativní kontrolu žádosti o dotaci, dokladů prokazujících nárok na dotaci a u vybraných žadatelů kontrolu na místě k ověření plnění podmínek dotace. Po poskytnutí dotace provádí Fond </w:t>
      </w:r>
      <w:r>
        <w:rPr>
          <w:rFonts w:ascii="Arial" w:hAnsi="Arial" w:cs="Arial"/>
          <w:color w:val="auto"/>
          <w:szCs w:val="24"/>
        </w:rPr>
        <w:t xml:space="preserve">nebo </w:t>
      </w:r>
      <w:r w:rsidRPr="006A10A2">
        <w:rPr>
          <w:rFonts w:ascii="Arial" w:hAnsi="Arial" w:cs="Arial"/>
          <w:szCs w:val="24"/>
        </w:rPr>
        <w:t>specializovaný kontrolní subjekt</w:t>
      </w:r>
      <w:r>
        <w:rPr>
          <w:szCs w:val="24"/>
        </w:rPr>
        <w:t xml:space="preserve"> </w:t>
      </w:r>
      <w:r>
        <w:rPr>
          <w:rFonts w:ascii="Arial" w:hAnsi="Arial" w:cs="Arial"/>
          <w:color w:val="auto"/>
          <w:szCs w:val="24"/>
        </w:rPr>
        <w:t xml:space="preserve">u </w:t>
      </w:r>
      <w:r w:rsidRPr="00E65C70">
        <w:rPr>
          <w:rFonts w:ascii="Arial" w:hAnsi="Arial" w:cs="Arial"/>
          <w:color w:val="auto"/>
          <w:szCs w:val="24"/>
        </w:rPr>
        <w:t>vybraných žadatelů kontrolu na místě z důvodu ověření naplnění účelu, pro který byla dotace poskytnuta.</w:t>
      </w:r>
    </w:p>
    <w:p w:rsidR="00BE3C8C" w:rsidRPr="00E65C70" w:rsidRDefault="00BE3C8C" w:rsidP="00BE3C8C">
      <w:pPr>
        <w:pStyle w:val="Znaeka"/>
        <w:numPr>
          <w:ilvl w:val="0"/>
          <w:numId w:val="5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Pokud žadatel neumožní kontrolu některé z podmínek pro poskytnutí dotace, považuje se tato podmínka za nesplněnou.</w:t>
      </w:r>
    </w:p>
    <w:p w:rsidR="00BE3C8C" w:rsidRPr="00E65C70" w:rsidRDefault="00BE3C8C" w:rsidP="00BE3C8C">
      <w:pPr>
        <w:pStyle w:val="Znaeka"/>
        <w:numPr>
          <w:ilvl w:val="0"/>
          <w:numId w:val="5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 xml:space="preserve">Pokud žadatel nebo jeho zástupce zabrání provedení kontroly na místě před vydáním rozhodnutí, Fond </w:t>
      </w:r>
      <w:bookmarkStart w:id="3" w:name="__DdeLink__29637_657628021"/>
      <w:bookmarkEnd w:id="3"/>
      <w:r w:rsidRPr="00E65C70">
        <w:rPr>
          <w:rFonts w:ascii="Arial" w:hAnsi="Arial" w:cs="Arial"/>
          <w:color w:val="auto"/>
          <w:szCs w:val="24"/>
        </w:rPr>
        <w:t>žádost o dotaci zamítne.</w:t>
      </w:r>
    </w:p>
    <w:p w:rsidR="00BE3C8C" w:rsidRPr="00E65C70" w:rsidRDefault="00BE3C8C" w:rsidP="00BE3C8C">
      <w:pPr>
        <w:pStyle w:val="Znaeka"/>
        <w:numPr>
          <w:ilvl w:val="0"/>
          <w:numId w:val="5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Pokud žadatel nebo jeho zástupce zabrání provedení kontroly na místě po vydání rozhodnutí a vyplacení dotace, Fond zahájí řízení o vrácení již poskytnuté dotace.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Rozhodnutí o poskytnutí dotace</w:t>
      </w:r>
    </w:p>
    <w:p w:rsidR="00BE3C8C" w:rsidRPr="00E65C70" w:rsidRDefault="00BE3C8C" w:rsidP="00BE3C8C">
      <w:pPr>
        <w:pStyle w:val="Znaeka"/>
        <w:numPr>
          <w:ilvl w:val="0"/>
          <w:numId w:val="6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Při poskytování dotací postupuje Fond podle zákona o zemědělství, zákona o Státním zemědělském intervenčním fondu, správního řádu, Zásad a příslušných právních předpisů EU.</w:t>
      </w:r>
    </w:p>
    <w:p w:rsidR="00BE3C8C" w:rsidRPr="00E65C70" w:rsidRDefault="00BE3C8C" w:rsidP="00BE3C8C">
      <w:pPr>
        <w:pStyle w:val="Znaeka"/>
        <w:numPr>
          <w:ilvl w:val="0"/>
          <w:numId w:val="6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Na dotaci není právní nárok.</w:t>
      </w:r>
    </w:p>
    <w:p w:rsidR="00BE3C8C" w:rsidRPr="00073693" w:rsidRDefault="00BE3C8C" w:rsidP="00BE3C8C">
      <w:pPr>
        <w:pStyle w:val="Znaeka"/>
        <w:numPr>
          <w:ilvl w:val="0"/>
          <w:numId w:val="6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073693">
        <w:rPr>
          <w:rFonts w:ascii="Arial" w:hAnsi="Arial" w:cs="Arial"/>
          <w:color w:val="auto"/>
          <w:szCs w:val="24"/>
        </w:rPr>
        <w:t>Fond řízení o dotaci zastaví v případě:</w:t>
      </w:r>
    </w:p>
    <w:p w:rsidR="00BE3C8C" w:rsidRPr="00073693" w:rsidRDefault="00BE3C8C" w:rsidP="00BE3C8C">
      <w:pPr>
        <w:pStyle w:val="Znaeka"/>
        <w:numPr>
          <w:ilvl w:val="1"/>
          <w:numId w:val="7"/>
        </w:numPr>
        <w:spacing w:after="0"/>
        <w:ind w:left="714" w:hanging="357"/>
        <w:rPr>
          <w:rFonts w:ascii="Arial" w:hAnsi="Arial" w:cs="Arial"/>
          <w:color w:val="auto"/>
          <w:szCs w:val="24"/>
        </w:rPr>
      </w:pPr>
      <w:r w:rsidRPr="00073693">
        <w:rPr>
          <w:rFonts w:ascii="Arial" w:hAnsi="Arial" w:cs="Arial"/>
          <w:color w:val="auto"/>
          <w:szCs w:val="24"/>
        </w:rPr>
        <w:t>že nebudou pro příslušný rok na dotační program vyčleněny finanční prostředky ze státního rozpočtu České republiky;</w:t>
      </w:r>
    </w:p>
    <w:p w:rsidR="00BE3C8C" w:rsidRPr="00073693" w:rsidRDefault="00BE3C8C" w:rsidP="00BE3C8C">
      <w:pPr>
        <w:pStyle w:val="Znaeka"/>
        <w:numPr>
          <w:ilvl w:val="1"/>
          <w:numId w:val="7"/>
        </w:numPr>
        <w:spacing w:after="0"/>
        <w:ind w:left="714" w:hanging="357"/>
        <w:rPr>
          <w:rFonts w:ascii="Arial" w:hAnsi="Arial" w:cs="Arial"/>
          <w:color w:val="auto"/>
          <w:szCs w:val="24"/>
        </w:rPr>
      </w:pPr>
      <w:r w:rsidRPr="00073693">
        <w:rPr>
          <w:rFonts w:ascii="Arial" w:hAnsi="Arial" w:cs="Arial"/>
          <w:color w:val="auto"/>
          <w:szCs w:val="24"/>
        </w:rPr>
        <w:t>zemře-li žadatel nebo zanikl-li subjekt před vydáním rozhodnutí pokud v řízení nepokračují právní nástupci (</w:t>
      </w:r>
      <w:r w:rsidRPr="00073693">
        <w:rPr>
          <w:rFonts w:ascii="Arial" w:hAnsi="Arial" w:cs="Arial"/>
          <w:bCs/>
          <w:color w:val="auto"/>
          <w:szCs w:val="24"/>
        </w:rPr>
        <w:t>splňující podmínky právního nástupnictví uvedené v § 2g odst. 2 zákona č. 252/1997 Sb., o zemědělství, ve znění pozdějších předpisů)</w:t>
      </w:r>
      <w:r w:rsidRPr="00073693">
        <w:rPr>
          <w:rFonts w:ascii="Arial" w:hAnsi="Arial" w:cs="Arial"/>
          <w:color w:val="auto"/>
          <w:szCs w:val="24"/>
        </w:rPr>
        <w:t>.</w:t>
      </w:r>
    </w:p>
    <w:p w:rsidR="00BE3C8C" w:rsidRPr="00E65C70" w:rsidRDefault="00BE3C8C" w:rsidP="00BE3C8C">
      <w:pPr>
        <w:pStyle w:val="Znaeka"/>
        <w:numPr>
          <w:ilvl w:val="0"/>
          <w:numId w:val="6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Fond žádost o dotaci zamítne v případě, že nebudou splněny podmínky uvedené v příslušných předpisech dle písmene a) tohoto bodu.</w:t>
      </w:r>
    </w:p>
    <w:p w:rsidR="00BE3C8C" w:rsidRPr="00E65C70" w:rsidRDefault="00BE3C8C" w:rsidP="00BE3C8C">
      <w:pPr>
        <w:pStyle w:val="Znaeka"/>
        <w:numPr>
          <w:ilvl w:val="0"/>
          <w:numId w:val="6"/>
        </w:numPr>
        <w:spacing w:before="120" w:after="120"/>
        <w:ind w:left="397" w:hanging="397"/>
        <w:rPr>
          <w:rFonts w:ascii="Arial" w:hAnsi="Arial" w:cs="Arial"/>
          <w:strike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Dotace se poskytuje převodem na bankovní účet uvedený žadatelem v žádosti o dotaci.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Vrácení dotace</w:t>
      </w:r>
    </w:p>
    <w:p w:rsidR="00BE3C8C" w:rsidRPr="00E65C70" w:rsidRDefault="00BE3C8C" w:rsidP="00BE3C8C">
      <w:pPr>
        <w:pStyle w:val="Znaeka"/>
        <w:spacing w:before="120" w:after="0"/>
        <w:ind w:left="0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Fond s žadatelem zahájí řízení o vrácení již poskytnuté dotace v případě, že:</w:t>
      </w:r>
    </w:p>
    <w:p w:rsidR="00BE3C8C" w:rsidRPr="00E65C70" w:rsidRDefault="00BE3C8C" w:rsidP="00BE3C8C">
      <w:pPr>
        <w:pStyle w:val="Znaeka"/>
        <w:numPr>
          <w:ilvl w:val="0"/>
          <w:numId w:val="8"/>
        </w:numPr>
        <w:spacing w:before="120" w:after="0"/>
        <w:ind w:left="714" w:hanging="35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Fond zjistí, že dotace byla žadateli poskytnuta na základě uvedení neúplných nebo nepravdivých údajů;</w:t>
      </w:r>
    </w:p>
    <w:p w:rsidR="00BE3C8C" w:rsidRPr="00E65C70" w:rsidRDefault="00BE3C8C" w:rsidP="00BE3C8C">
      <w:pPr>
        <w:pStyle w:val="Znaeka"/>
        <w:numPr>
          <w:ilvl w:val="0"/>
          <w:numId w:val="8"/>
        </w:numPr>
        <w:spacing w:before="120" w:after="120"/>
        <w:ind w:left="714" w:hanging="35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Fond zjistí, že žadatel nesplnil nebo porušil obecné podmínky nebo podmínky stanovené pro příslušný dotační program, nebo že nedošlo k naplnění účelu, pro který byla dotace poskytnuta.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lastRenderedPageBreak/>
        <w:t>Závěrečná ustanovení</w:t>
      </w:r>
    </w:p>
    <w:p w:rsidR="00BE3C8C" w:rsidRDefault="00BE3C8C" w:rsidP="00BE3C8C">
      <w:pPr>
        <w:pStyle w:val="Znaeka"/>
        <w:spacing w:before="120" w:after="0"/>
        <w:ind w:left="0"/>
        <w:rPr>
          <w:rFonts w:ascii="Arial" w:hAnsi="Arial" w:cs="Arial"/>
          <w:color w:val="auto"/>
          <w:szCs w:val="24"/>
        </w:rPr>
      </w:pPr>
      <w:r>
        <w:rPr>
          <w:rFonts w:ascii="Arial" w:hAnsi="Arial" w:cs="Arial"/>
          <w:color w:val="auto"/>
          <w:szCs w:val="24"/>
        </w:rPr>
        <w:t>F</w:t>
      </w:r>
      <w:r w:rsidRPr="00AD2CEE">
        <w:rPr>
          <w:rFonts w:ascii="Arial" w:hAnsi="Arial" w:cs="Arial"/>
          <w:color w:val="auto"/>
          <w:szCs w:val="24"/>
        </w:rPr>
        <w:t>ond je povinen zaznamenávat do centrálního evidenčního systému veřejných podpor údaje o veřejné podpoře poskytnuté na základě nařízení Komise (EU) č.</w:t>
      </w:r>
      <w:r>
        <w:rPr>
          <w:rFonts w:ascii="Arial" w:hAnsi="Arial" w:cs="Arial"/>
          <w:color w:val="auto"/>
          <w:szCs w:val="24"/>
        </w:rPr>
        <w:t> </w:t>
      </w:r>
      <w:r w:rsidRPr="00AD2CEE">
        <w:rPr>
          <w:rFonts w:ascii="Arial" w:hAnsi="Arial" w:cs="Arial"/>
          <w:color w:val="auto"/>
          <w:szCs w:val="24"/>
        </w:rPr>
        <w:t>702/2014, č. 651/2014, pokynů Evropské unie ke státní podpoře v odvětvích zemědělství a lesnictví a ve venkovských oblastech na období 2014 až 2020, pokynů pro posuzování státní podpory v odvětví rybolovu a akvakultury, a to do 6 měsíců ode dne poskytnutí této podpory. Tato povinnost se vztahuje na každou jednotlivou podporu, která přesáhne částku 60 000 EUR u příjemců z odvětví zemědělské prvovýroby</w:t>
      </w:r>
      <w:r w:rsidRPr="00620B46">
        <w:rPr>
          <w:rFonts w:ascii="Arial" w:hAnsi="Arial" w:cs="Arial"/>
          <w:color w:val="auto"/>
          <w:szCs w:val="24"/>
        </w:rPr>
        <w:t xml:space="preserve"> </w:t>
      </w:r>
      <w:r>
        <w:rPr>
          <w:rFonts w:ascii="Arial" w:hAnsi="Arial" w:cs="Arial"/>
          <w:color w:val="auto"/>
          <w:szCs w:val="24"/>
        </w:rPr>
        <w:t>částku 30 000 EUR u příjemců z odvětví rybolovu a akvakultury</w:t>
      </w:r>
      <w:r w:rsidRPr="00AD2CEE">
        <w:rPr>
          <w:rFonts w:ascii="Arial" w:hAnsi="Arial" w:cs="Arial"/>
          <w:color w:val="auto"/>
          <w:szCs w:val="24"/>
        </w:rPr>
        <w:t xml:space="preserve"> či částku 500 000 EUR u příjemců ze všech ostatních odvětví.</w:t>
      </w:r>
    </w:p>
    <w:p w:rsidR="00BE3C8C" w:rsidRDefault="00BE3C8C" w:rsidP="00BE3C8C">
      <w:pPr>
        <w:pStyle w:val="Znaeka"/>
        <w:spacing w:before="120" w:after="0"/>
        <w:ind w:left="0"/>
        <w:rPr>
          <w:rFonts w:ascii="Arial" w:hAnsi="Arial" w:cs="Arial"/>
          <w:color w:val="auto"/>
          <w:szCs w:val="24"/>
        </w:rPr>
      </w:pPr>
      <w:r>
        <w:rPr>
          <w:rFonts w:ascii="Arial" w:hAnsi="Arial" w:cs="Arial"/>
          <w:color w:val="auto"/>
          <w:szCs w:val="24"/>
        </w:rPr>
        <w:t>Fond</w:t>
      </w:r>
      <w:r w:rsidRPr="00B675CA">
        <w:rPr>
          <w:rFonts w:ascii="Arial" w:hAnsi="Arial" w:cs="Arial"/>
          <w:color w:val="auto"/>
          <w:szCs w:val="24"/>
        </w:rPr>
        <w:t xml:space="preserve"> si vyhrazuje právo na základě rozhodnutí MZe z důvodu nedostatku finančních prostředků příslušný dotační program nerealizovat.</w:t>
      </w:r>
    </w:p>
    <w:p w:rsidR="00BE3C8C" w:rsidRPr="00AD2CEE" w:rsidRDefault="00BE3C8C" w:rsidP="00BE3C8C">
      <w:pPr>
        <w:pStyle w:val="Znaeka"/>
        <w:spacing w:before="120" w:after="0"/>
        <w:ind w:left="0"/>
        <w:rPr>
          <w:rFonts w:ascii="Arial" w:hAnsi="Arial" w:cs="Arial"/>
          <w:color w:val="auto"/>
          <w:szCs w:val="24"/>
        </w:rPr>
      </w:pPr>
      <w:r w:rsidRPr="000F61A9">
        <w:rPr>
          <w:rFonts w:ascii="Arial" w:hAnsi="Arial" w:cs="Arial"/>
          <w:color w:val="auto"/>
          <w:szCs w:val="24"/>
        </w:rPr>
        <w:t>V odůvodněných případech může MZe provést zpřesnění těchto Zásad v průběhu roku.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Výklad zkratek</w:t>
      </w:r>
    </w:p>
    <w:p w:rsidR="00BE3C8C" w:rsidRPr="00E65C70" w:rsidRDefault="00BE3C8C" w:rsidP="00BE3C8C">
      <w:pPr>
        <w:pStyle w:val="Default"/>
        <w:spacing w:before="120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>Pro účely Zásad se rozumí: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DPB – díl půdního bloku,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FO – fyzická osoba,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HPK – hlavní plemenná kniha,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 xml:space="preserve">IZR – </w:t>
      </w:r>
      <w:r w:rsidRPr="00E65C70">
        <w:rPr>
          <w:rFonts w:ascii="Arial" w:hAnsi="Arial" w:cs="Arial"/>
          <w:lang w:val="cs-CZ"/>
        </w:rPr>
        <w:t>Integrovaný zemědělský registr,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KD – kontrola dědičnosti,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KU – kontrola užitkovosti,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LPIS – Registr půdy – evidence využití půdy podle uživatelských vztahů,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nařízení (EU) č. 508/2014 – nařízení Evropského parlamentu a Rady (EU)</w:t>
      </w:r>
      <w:r w:rsidRPr="00E65C70">
        <w:rPr>
          <w:rFonts w:ascii="Arial" w:hAnsi="Arial" w:cs="Arial"/>
          <w:lang w:val="cs-CZ"/>
        </w:rPr>
        <w:t xml:space="preserve"> </w:t>
      </w:r>
      <w:r w:rsidRPr="00E65C70">
        <w:rPr>
          <w:rFonts w:ascii="Arial" w:hAnsi="Arial" w:cs="Arial"/>
        </w:rPr>
        <w:t>č.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508/2014, o Evropském námořním a rybářském fondu a o zrušení nařízení Rady (ES) č. </w:t>
      </w:r>
      <w:r w:rsidRPr="00E65C70">
        <w:rPr>
          <w:rFonts w:ascii="Arial" w:hAnsi="Arial" w:cs="Arial"/>
          <w:iCs/>
        </w:rPr>
        <w:t>2328/2003, (ES) č. 861/2006, (ES) č. 1198/2006 a (ES) č. 791/2007</w:t>
      </w:r>
      <w:r w:rsidRPr="00E65C70">
        <w:rPr>
          <w:rFonts w:ascii="Arial" w:hAnsi="Arial" w:cs="Arial"/>
          <w:iCs/>
          <w:lang w:val="cs-CZ"/>
        </w:rPr>
        <w:t xml:space="preserve"> </w:t>
      </w:r>
      <w:r w:rsidRPr="00E65C70">
        <w:rPr>
          <w:rFonts w:ascii="Arial" w:hAnsi="Arial" w:cs="Arial"/>
          <w:iCs/>
        </w:rPr>
        <w:t>a nařízení Evropského parlamentu a Rady (EU) č. 1255/2011,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NOPRM – Národní ozdravovací program pro ozdravení rozmnožovacího materiálu ovocných rostlin, révy a chmele v České republice od hospodářsky významných škodlivých organismů rostlin,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PK – plemenná kniha,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PO – právnická osoba,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SISPO – Svaz pro integrované systémy pěstování ovoce,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 xml:space="preserve">správní řád </w:t>
      </w:r>
      <w:r w:rsidRPr="00E65C70">
        <w:rPr>
          <w:rFonts w:ascii="Arial" w:hAnsi="Arial" w:cs="Arial"/>
          <w:lang w:val="cs-CZ"/>
        </w:rPr>
        <w:t>–</w:t>
      </w:r>
      <w:r w:rsidRPr="00E65C70">
        <w:rPr>
          <w:rFonts w:ascii="Arial" w:hAnsi="Arial" w:cs="Arial"/>
        </w:rPr>
        <w:t xml:space="preserve"> </w:t>
      </w:r>
      <w:r w:rsidRPr="00E65C70">
        <w:rPr>
          <w:rFonts w:ascii="Arial" w:hAnsi="Arial" w:cs="Arial"/>
          <w:lang w:eastAsia="cs-CZ"/>
        </w:rPr>
        <w:t>zákon č. 500/2004 Sb., správní řád, ve znění pozdějších předpisů</w:t>
      </w:r>
      <w:r w:rsidRPr="00E65C70">
        <w:rPr>
          <w:rFonts w:ascii="Arial" w:hAnsi="Arial" w:cs="Arial"/>
          <w:lang w:val="cs-CZ" w:eastAsia="cs-CZ"/>
        </w:rPr>
        <w:t>,</w:t>
      </w:r>
    </w:p>
    <w:p w:rsidR="00BE3C8C" w:rsidRPr="006B6CAA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ÚKZÚZ – Ústřední kontrolní a zkušební ústav zemědělský,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>
        <w:rPr>
          <w:rFonts w:ascii="Arial" w:hAnsi="Arial" w:cs="Arial"/>
          <w:lang w:val="cs-CZ"/>
        </w:rPr>
        <w:t xml:space="preserve">VJ </w:t>
      </w:r>
      <w:r w:rsidRPr="00E65C70">
        <w:rPr>
          <w:rFonts w:ascii="Arial" w:hAnsi="Arial" w:cs="Arial"/>
          <w:iCs/>
        </w:rPr>
        <w:t>–</w:t>
      </w:r>
      <w:r>
        <w:rPr>
          <w:rFonts w:ascii="Arial" w:hAnsi="Arial" w:cs="Arial"/>
          <w:iCs/>
          <w:lang w:val="cs-CZ"/>
        </w:rPr>
        <w:t xml:space="preserve"> výsevní jednotka,</w:t>
      </w:r>
      <w:r>
        <w:rPr>
          <w:rFonts w:ascii="Arial" w:hAnsi="Arial" w:cs="Arial"/>
          <w:lang w:val="cs-CZ"/>
        </w:rPr>
        <w:t xml:space="preserve"> 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zákon o Státním zemědělském intervenčním fondu - zákon č. 256/2000 Sb.</w:t>
      </w:r>
      <w:r w:rsidRPr="00E65C70">
        <w:rPr>
          <w:rFonts w:ascii="Arial" w:hAnsi="Arial" w:cs="Arial"/>
          <w:lang w:val="cs-CZ"/>
        </w:rPr>
        <w:t xml:space="preserve"> </w:t>
      </w:r>
      <w:r w:rsidRPr="00E65C70">
        <w:rPr>
          <w:rFonts w:ascii="Arial" w:hAnsi="Arial" w:cs="Arial"/>
        </w:rPr>
        <w:t>o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 xml:space="preserve">Státním zemědělském intervenčním fondu a o změně některých dalších zákonů </w:t>
      </w:r>
      <w:r w:rsidRPr="00E65C70">
        <w:rPr>
          <w:rFonts w:ascii="Arial" w:hAnsi="Arial" w:cs="Arial"/>
          <w:spacing w:val="-2"/>
        </w:rPr>
        <w:t>(zákon o Státním zemědělském intervenčním fondu),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zákon č. 252/1997 Sb.</w:t>
      </w:r>
      <w:r w:rsidRPr="00EE6417">
        <w:rPr>
          <w:rFonts w:ascii="Arial" w:hAnsi="Arial" w:cs="Arial"/>
        </w:rPr>
        <w:t xml:space="preserve"> </w:t>
      </w:r>
      <w:r w:rsidRPr="00E65C70">
        <w:rPr>
          <w:rFonts w:ascii="Arial" w:hAnsi="Arial" w:cs="Arial"/>
          <w:lang w:val="cs-CZ"/>
        </w:rPr>
        <w:t>–</w:t>
      </w:r>
      <w:r w:rsidRPr="00E65C70">
        <w:rPr>
          <w:rFonts w:ascii="Arial" w:hAnsi="Arial" w:cs="Arial"/>
        </w:rPr>
        <w:t xml:space="preserve"> zákon č. 252/1997 Sb</w:t>
      </w:r>
      <w:r>
        <w:rPr>
          <w:rFonts w:ascii="Arial" w:hAnsi="Arial" w:cs="Arial"/>
          <w:lang w:val="cs-CZ"/>
        </w:rPr>
        <w:t>.</w:t>
      </w:r>
      <w:r>
        <w:rPr>
          <w:rFonts w:ascii="Arial" w:hAnsi="Arial" w:cs="Arial"/>
        </w:rPr>
        <w:t xml:space="preserve">, </w:t>
      </w:r>
      <w:r w:rsidRPr="00E65C70">
        <w:rPr>
          <w:rFonts w:ascii="Arial" w:hAnsi="Arial" w:cs="Arial"/>
        </w:rPr>
        <w:t>o zemědělství o zemědělství,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spacing w:val="-4"/>
        </w:rPr>
        <w:t>zákon č. 89/2012 Sb. – zákon č. 89/2012 Sb., občanský zákoník, ve znění pozdějších</w:t>
      </w:r>
      <w:r w:rsidRPr="00E65C70">
        <w:rPr>
          <w:rFonts w:ascii="Arial" w:hAnsi="Arial" w:cs="Arial"/>
        </w:rPr>
        <w:t xml:space="preserve">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zákon č. 99/2004 Sb. – zákon č. 99/2004 Sb., o rybářství,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  <w:spacing w:val="-6"/>
        </w:rPr>
        <w:lastRenderedPageBreak/>
        <w:t xml:space="preserve">zákon č. 110/1997 Sb. </w:t>
      </w:r>
      <w:r w:rsidRPr="00E65C70">
        <w:rPr>
          <w:rFonts w:ascii="Arial" w:hAnsi="Arial" w:cs="Arial"/>
          <w:spacing w:val="-6"/>
          <w:lang w:val="cs-CZ"/>
        </w:rPr>
        <w:t>–</w:t>
      </w:r>
      <w:r w:rsidRPr="00E65C70">
        <w:rPr>
          <w:rFonts w:ascii="Arial" w:hAnsi="Arial" w:cs="Arial"/>
          <w:spacing w:val="-6"/>
        </w:rPr>
        <w:t xml:space="preserve"> zákon č. 110/1997 Sb., o potravinách a tabákových výrobcích,</w:t>
      </w:r>
      <w:r w:rsidRPr="00E65C70">
        <w:rPr>
          <w:rFonts w:ascii="Arial" w:hAnsi="Arial" w:cs="Arial"/>
        </w:rPr>
        <w:t xml:space="preserve"> ve 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zákon č. 154/2000 Sb. – zákon č. 154/2000 Sb., o šlechtění, plemenitbě</w:t>
      </w:r>
      <w:r w:rsidRPr="00E65C70">
        <w:rPr>
          <w:rFonts w:ascii="Arial" w:hAnsi="Arial" w:cs="Arial"/>
          <w:lang w:val="cs-CZ"/>
        </w:rPr>
        <w:t xml:space="preserve"> </w:t>
      </w:r>
      <w:r w:rsidRPr="00E65C70">
        <w:rPr>
          <w:rFonts w:ascii="Arial" w:hAnsi="Arial" w:cs="Arial"/>
        </w:rPr>
        <w:t>a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evidenci hospodářských zvířat a o změně některých souvisejících zákonů (plemenářský zákon),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 xml:space="preserve">zákon č. 166/1999 Sb. – </w:t>
      </w:r>
      <w:r w:rsidRPr="00E65C70">
        <w:rPr>
          <w:rFonts w:ascii="Arial" w:hAnsi="Arial" w:cs="Arial"/>
        </w:rPr>
        <w:t>zákon č. 166/1999 Sb., o veterinární péči a o změně některých souvisejících zákonů (veterinární zákon),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zákon č. 219/2003 Sb. – zákon č. 219/2003 Sb., o uvádění do oběhu osiva</w:t>
      </w:r>
      <w:r w:rsidRPr="00E65C70">
        <w:rPr>
          <w:rFonts w:ascii="Arial" w:hAnsi="Arial" w:cs="Arial"/>
          <w:iCs/>
          <w:lang w:val="cs-CZ"/>
        </w:rPr>
        <w:t xml:space="preserve"> </w:t>
      </w:r>
      <w:r w:rsidRPr="00E65C70">
        <w:rPr>
          <w:rFonts w:ascii="Arial" w:hAnsi="Arial" w:cs="Arial"/>
          <w:iCs/>
        </w:rPr>
        <w:t>a</w:t>
      </w:r>
      <w:r w:rsidRPr="00E65C70">
        <w:rPr>
          <w:rFonts w:ascii="Arial" w:hAnsi="Arial" w:cs="Arial"/>
          <w:iCs/>
          <w:lang w:val="cs-CZ"/>
        </w:rPr>
        <w:t> </w:t>
      </w:r>
      <w:r w:rsidRPr="00E65C70">
        <w:rPr>
          <w:rFonts w:ascii="Arial" w:hAnsi="Arial" w:cs="Arial"/>
          <w:iCs/>
        </w:rPr>
        <w:t>sadby pěstovaných rostlin a o změně některých zákonů (zákon o oběhu osiva</w:t>
      </w:r>
      <w:r w:rsidRPr="00E65C70">
        <w:rPr>
          <w:rFonts w:ascii="Arial" w:hAnsi="Arial" w:cs="Arial"/>
          <w:iCs/>
          <w:lang w:val="cs-CZ"/>
        </w:rPr>
        <w:t xml:space="preserve"> </w:t>
      </w:r>
      <w:r w:rsidRPr="00E65C70">
        <w:rPr>
          <w:rFonts w:ascii="Arial" w:hAnsi="Arial" w:cs="Arial"/>
          <w:iCs/>
        </w:rPr>
        <w:t>a</w:t>
      </w:r>
      <w:r w:rsidRPr="00E65C70">
        <w:rPr>
          <w:rFonts w:ascii="Arial" w:hAnsi="Arial" w:cs="Arial"/>
          <w:iCs/>
          <w:lang w:val="cs-CZ"/>
        </w:rPr>
        <w:t> </w:t>
      </w:r>
      <w:r w:rsidRPr="00E65C70">
        <w:rPr>
          <w:rFonts w:ascii="Arial" w:hAnsi="Arial" w:cs="Arial"/>
          <w:iCs/>
        </w:rPr>
        <w:t>sadby),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  <w:spacing w:val="-6"/>
        </w:rPr>
        <w:t xml:space="preserve">zákon č. 242/2000 Sb. – </w:t>
      </w:r>
      <w:r w:rsidRPr="00E65C70">
        <w:rPr>
          <w:rFonts w:ascii="Arial" w:hAnsi="Arial" w:cs="Arial"/>
          <w:spacing w:val="-6"/>
        </w:rPr>
        <w:t>zákon č. 242/2000 Sb., o ekologickém zemědělství</w:t>
      </w:r>
      <w:r w:rsidRPr="00E65C70">
        <w:rPr>
          <w:rFonts w:ascii="Arial" w:hAnsi="Arial" w:cs="Arial"/>
          <w:spacing w:val="-6"/>
          <w:lang w:val="cs-CZ"/>
        </w:rPr>
        <w:t xml:space="preserve"> </w:t>
      </w:r>
      <w:r w:rsidRPr="00E65C70">
        <w:rPr>
          <w:rFonts w:ascii="Arial" w:hAnsi="Arial" w:cs="Arial"/>
          <w:spacing w:val="-6"/>
        </w:rPr>
        <w:t>a o</w:t>
      </w:r>
      <w:r w:rsidRPr="00E65C70">
        <w:rPr>
          <w:rFonts w:ascii="Arial" w:hAnsi="Arial" w:cs="Arial"/>
          <w:spacing w:val="-6"/>
          <w:lang w:val="cs-CZ"/>
        </w:rPr>
        <w:t> </w:t>
      </w:r>
      <w:r w:rsidRPr="00E65C70">
        <w:rPr>
          <w:rFonts w:ascii="Arial" w:hAnsi="Arial" w:cs="Arial"/>
          <w:spacing w:val="-6"/>
        </w:rPr>
        <w:t>změně</w:t>
      </w:r>
      <w:r w:rsidRPr="00E65C70">
        <w:rPr>
          <w:rFonts w:ascii="Arial" w:hAnsi="Arial" w:cs="Arial"/>
        </w:rPr>
        <w:t xml:space="preserve"> zákona č. 368/1992 Sb., o správních poplatcích, ve znění pozdějších předpisů,</w:t>
      </w:r>
    </w:p>
    <w:p w:rsidR="00BE3C8C" w:rsidRPr="00815E96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 xml:space="preserve">zákon č. 246/1992 Sb. </w:t>
      </w:r>
      <w:r w:rsidRPr="00E65C70">
        <w:rPr>
          <w:rFonts w:ascii="Arial" w:hAnsi="Arial" w:cs="Arial"/>
          <w:iCs/>
          <w:lang w:val="cs-CZ"/>
        </w:rPr>
        <w:t>–</w:t>
      </w:r>
      <w:r w:rsidRPr="00E65C70">
        <w:rPr>
          <w:rFonts w:ascii="Arial" w:hAnsi="Arial" w:cs="Arial"/>
        </w:rPr>
        <w:t xml:space="preserve"> zákon č. 246/1992 Sb., na ochranu zvířat proti týrání, ve 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 xml:space="preserve">zákon č. 254/2001 Sb. – </w:t>
      </w:r>
      <w:r w:rsidRPr="00E65C70">
        <w:rPr>
          <w:rFonts w:ascii="Arial" w:hAnsi="Arial" w:cs="Arial"/>
        </w:rPr>
        <w:t>zákon č. 254/2001 Sb., o vodách a o změně některých zákonů (vodní zákon),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  <w:spacing w:val="-2"/>
        </w:rPr>
        <w:t xml:space="preserve">zákon č. 262/2006 Sb. – </w:t>
      </w:r>
      <w:r w:rsidRPr="00E65C70">
        <w:rPr>
          <w:rFonts w:ascii="Arial" w:hAnsi="Arial" w:cs="Arial"/>
          <w:spacing w:val="-2"/>
        </w:rPr>
        <w:t>zákon č. 262/2006 Sb., zákoník práce, ve znění pozdějších</w:t>
      </w:r>
      <w:r w:rsidRPr="00E65C70">
        <w:rPr>
          <w:rFonts w:ascii="Arial" w:hAnsi="Arial" w:cs="Arial"/>
        </w:rPr>
        <w:t xml:space="preserve"> předpisů,</w:t>
      </w:r>
    </w:p>
    <w:p w:rsidR="00BE3C8C" w:rsidRPr="000C4255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spacing w:val="-4"/>
        </w:rPr>
        <w:t>zákon č. 561/2004 Sb. – zákon č. 561/2004 Sb., o předškolním, základním, středním,</w:t>
      </w:r>
      <w:r w:rsidRPr="00E65C70">
        <w:rPr>
          <w:rFonts w:ascii="Arial" w:hAnsi="Arial" w:cs="Arial"/>
        </w:rPr>
        <w:t xml:space="preserve"> </w:t>
      </w:r>
      <w:r w:rsidRPr="00E65C70">
        <w:rPr>
          <w:rFonts w:ascii="Arial" w:hAnsi="Arial" w:cs="Arial"/>
          <w:spacing w:val="-2"/>
        </w:rPr>
        <w:t>vyšším odborném a jiném vzdělávání (školský zákon), ve znění pozdějších předpisů.</w:t>
      </w:r>
    </w:p>
    <w:p w:rsidR="00B25AF8" w:rsidRDefault="00B25AF8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96799"/>
    <w:multiLevelType w:val="multilevel"/>
    <w:tmpl w:val="67545AFA"/>
    <w:lvl w:ilvl="0">
      <w:start w:val="1"/>
      <w:numFmt w:val="lowerLetter"/>
      <w:lvlText w:val="%1)"/>
      <w:lvlJc w:val="left"/>
      <w:pPr>
        <w:ind w:left="1198" w:hanging="360"/>
      </w:pPr>
    </w:lvl>
    <w:lvl w:ilvl="1">
      <w:start w:val="1"/>
      <w:numFmt w:val="lowerLetter"/>
      <w:lvlText w:val="%2."/>
      <w:lvlJc w:val="left"/>
      <w:pPr>
        <w:ind w:left="1918" w:hanging="360"/>
      </w:pPr>
    </w:lvl>
    <w:lvl w:ilvl="2">
      <w:start w:val="1"/>
      <w:numFmt w:val="lowerRoman"/>
      <w:lvlText w:val="%3."/>
      <w:lvlJc w:val="right"/>
      <w:pPr>
        <w:ind w:left="2638" w:hanging="180"/>
      </w:pPr>
    </w:lvl>
    <w:lvl w:ilvl="3">
      <w:start w:val="1"/>
      <w:numFmt w:val="decimal"/>
      <w:lvlText w:val="%4."/>
      <w:lvlJc w:val="left"/>
      <w:pPr>
        <w:ind w:left="3358" w:hanging="360"/>
      </w:pPr>
    </w:lvl>
    <w:lvl w:ilvl="4">
      <w:start w:val="1"/>
      <w:numFmt w:val="lowerLetter"/>
      <w:lvlText w:val="%5."/>
      <w:lvlJc w:val="left"/>
      <w:pPr>
        <w:ind w:left="4078" w:hanging="360"/>
      </w:pPr>
    </w:lvl>
    <w:lvl w:ilvl="5">
      <w:start w:val="1"/>
      <w:numFmt w:val="lowerRoman"/>
      <w:lvlText w:val="%6."/>
      <w:lvlJc w:val="right"/>
      <w:pPr>
        <w:ind w:left="4798" w:hanging="180"/>
      </w:pPr>
    </w:lvl>
    <w:lvl w:ilvl="6">
      <w:start w:val="1"/>
      <w:numFmt w:val="decimal"/>
      <w:lvlText w:val="%7."/>
      <w:lvlJc w:val="left"/>
      <w:pPr>
        <w:ind w:left="5518" w:hanging="360"/>
      </w:pPr>
    </w:lvl>
    <w:lvl w:ilvl="7">
      <w:start w:val="1"/>
      <w:numFmt w:val="lowerLetter"/>
      <w:lvlText w:val="%8."/>
      <w:lvlJc w:val="left"/>
      <w:pPr>
        <w:ind w:left="6238" w:hanging="360"/>
      </w:pPr>
    </w:lvl>
    <w:lvl w:ilvl="8">
      <w:start w:val="1"/>
      <w:numFmt w:val="lowerRoman"/>
      <w:lvlText w:val="%9."/>
      <w:lvlJc w:val="right"/>
      <w:pPr>
        <w:ind w:left="6958" w:hanging="180"/>
      </w:pPr>
    </w:lvl>
  </w:abstractNum>
  <w:abstractNum w:abstractNumId="1" w15:restartNumberingAfterBreak="0">
    <w:nsid w:val="13F14347"/>
    <w:multiLevelType w:val="multilevel"/>
    <w:tmpl w:val="248EADA2"/>
    <w:lvl w:ilvl="0">
      <w:start w:val="1"/>
      <w:numFmt w:val="lowerLetter"/>
      <w:lvlText w:val="%1)"/>
      <w:lvlJc w:val="left"/>
      <w:pPr>
        <w:ind w:left="1198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918" w:hanging="360"/>
      </w:pPr>
    </w:lvl>
    <w:lvl w:ilvl="2">
      <w:start w:val="1"/>
      <w:numFmt w:val="lowerRoman"/>
      <w:lvlText w:val="%3."/>
      <w:lvlJc w:val="right"/>
      <w:pPr>
        <w:ind w:left="2638" w:hanging="180"/>
      </w:pPr>
    </w:lvl>
    <w:lvl w:ilvl="3">
      <w:start w:val="1"/>
      <w:numFmt w:val="decimal"/>
      <w:lvlText w:val="%4."/>
      <w:lvlJc w:val="left"/>
      <w:pPr>
        <w:ind w:left="3358" w:hanging="360"/>
      </w:pPr>
    </w:lvl>
    <w:lvl w:ilvl="4">
      <w:start w:val="1"/>
      <w:numFmt w:val="lowerLetter"/>
      <w:lvlText w:val="%5."/>
      <w:lvlJc w:val="left"/>
      <w:pPr>
        <w:ind w:left="4078" w:hanging="360"/>
      </w:pPr>
    </w:lvl>
    <w:lvl w:ilvl="5">
      <w:start w:val="1"/>
      <w:numFmt w:val="lowerRoman"/>
      <w:lvlText w:val="%6."/>
      <w:lvlJc w:val="right"/>
      <w:pPr>
        <w:ind w:left="4798" w:hanging="180"/>
      </w:pPr>
    </w:lvl>
    <w:lvl w:ilvl="6">
      <w:start w:val="1"/>
      <w:numFmt w:val="decimal"/>
      <w:lvlText w:val="%7."/>
      <w:lvlJc w:val="left"/>
      <w:pPr>
        <w:ind w:left="5518" w:hanging="360"/>
      </w:pPr>
    </w:lvl>
    <w:lvl w:ilvl="7">
      <w:start w:val="1"/>
      <w:numFmt w:val="lowerLetter"/>
      <w:lvlText w:val="%8."/>
      <w:lvlJc w:val="left"/>
      <w:pPr>
        <w:ind w:left="6238" w:hanging="360"/>
      </w:pPr>
    </w:lvl>
    <w:lvl w:ilvl="8">
      <w:start w:val="1"/>
      <w:numFmt w:val="lowerRoman"/>
      <w:lvlText w:val="%9."/>
      <w:lvlJc w:val="right"/>
      <w:pPr>
        <w:ind w:left="6958" w:hanging="180"/>
      </w:pPr>
    </w:lvl>
  </w:abstractNum>
  <w:abstractNum w:abstractNumId="2" w15:restartNumberingAfterBreak="0">
    <w:nsid w:val="14A66B99"/>
    <w:multiLevelType w:val="multilevel"/>
    <w:tmpl w:val="EC8A1B72"/>
    <w:lvl w:ilvl="0">
      <w:start w:val="5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" w15:restartNumberingAfterBreak="0">
    <w:nsid w:val="243423B7"/>
    <w:multiLevelType w:val="multilevel"/>
    <w:tmpl w:val="4600C9E6"/>
    <w:lvl w:ilvl="0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D14450"/>
    <w:multiLevelType w:val="hybridMultilevel"/>
    <w:tmpl w:val="21C045FC"/>
    <w:lvl w:ilvl="0" w:tplc="4120B5FC">
      <w:start w:val="1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7861E6"/>
    <w:multiLevelType w:val="multilevel"/>
    <w:tmpl w:val="1CB47180"/>
    <w:lvl w:ilvl="0">
      <w:start w:val="1"/>
      <w:numFmt w:val="lowerLetter"/>
      <w:lvlText w:val="%1)"/>
      <w:lvlJc w:val="left"/>
      <w:pPr>
        <w:ind w:left="1198" w:hanging="360"/>
      </w:pPr>
    </w:lvl>
    <w:lvl w:ilvl="1">
      <w:start w:val="1"/>
      <w:numFmt w:val="upperRoman"/>
      <w:lvlText w:val="%2."/>
      <w:lvlJc w:val="right"/>
      <w:pPr>
        <w:ind w:left="1918" w:hanging="360"/>
      </w:pPr>
    </w:lvl>
    <w:lvl w:ilvl="2">
      <w:start w:val="1"/>
      <w:numFmt w:val="lowerRoman"/>
      <w:lvlText w:val="%3."/>
      <w:lvlJc w:val="right"/>
      <w:pPr>
        <w:ind w:left="2638" w:hanging="180"/>
      </w:pPr>
    </w:lvl>
    <w:lvl w:ilvl="3">
      <w:start w:val="1"/>
      <w:numFmt w:val="decimal"/>
      <w:lvlText w:val="%4."/>
      <w:lvlJc w:val="left"/>
      <w:pPr>
        <w:ind w:left="3358" w:hanging="360"/>
      </w:pPr>
    </w:lvl>
    <w:lvl w:ilvl="4">
      <w:start w:val="1"/>
      <w:numFmt w:val="lowerLetter"/>
      <w:lvlText w:val="%5."/>
      <w:lvlJc w:val="left"/>
      <w:pPr>
        <w:ind w:left="4078" w:hanging="360"/>
      </w:pPr>
    </w:lvl>
    <w:lvl w:ilvl="5">
      <w:start w:val="1"/>
      <w:numFmt w:val="lowerRoman"/>
      <w:lvlText w:val="%6."/>
      <w:lvlJc w:val="right"/>
      <w:pPr>
        <w:ind w:left="4798" w:hanging="180"/>
      </w:pPr>
    </w:lvl>
    <w:lvl w:ilvl="6">
      <w:start w:val="1"/>
      <w:numFmt w:val="decimal"/>
      <w:lvlText w:val="%7."/>
      <w:lvlJc w:val="left"/>
      <w:pPr>
        <w:ind w:left="5518" w:hanging="360"/>
      </w:pPr>
    </w:lvl>
    <w:lvl w:ilvl="7">
      <w:start w:val="1"/>
      <w:numFmt w:val="lowerLetter"/>
      <w:lvlText w:val="%8."/>
      <w:lvlJc w:val="left"/>
      <w:pPr>
        <w:ind w:left="6238" w:hanging="360"/>
      </w:pPr>
    </w:lvl>
    <w:lvl w:ilvl="8">
      <w:start w:val="1"/>
      <w:numFmt w:val="lowerRoman"/>
      <w:lvlText w:val="%9."/>
      <w:lvlJc w:val="right"/>
      <w:pPr>
        <w:ind w:left="6958" w:hanging="180"/>
      </w:pPr>
    </w:lvl>
  </w:abstractNum>
  <w:abstractNum w:abstractNumId="6" w15:restartNumberingAfterBreak="0">
    <w:nsid w:val="40F549D2"/>
    <w:multiLevelType w:val="multilevel"/>
    <w:tmpl w:val="5DD07A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96F6C29"/>
    <w:multiLevelType w:val="multilevel"/>
    <w:tmpl w:val="7B748EB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A2156D"/>
    <w:multiLevelType w:val="multilevel"/>
    <w:tmpl w:val="6A2EC72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416C36"/>
    <w:multiLevelType w:val="multilevel"/>
    <w:tmpl w:val="654C91C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352809"/>
    <w:multiLevelType w:val="hybridMultilevel"/>
    <w:tmpl w:val="7F7AE230"/>
    <w:lvl w:ilvl="0" w:tplc="3BA6B6A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BF7B08"/>
    <w:multiLevelType w:val="hybridMultilevel"/>
    <w:tmpl w:val="A112B872"/>
    <w:lvl w:ilvl="0" w:tplc="851886E0">
      <w:start w:val="1"/>
      <w:numFmt w:val="lowerLetter"/>
      <w:lvlText w:val="%1)"/>
      <w:lvlJc w:val="left"/>
      <w:pPr>
        <w:ind w:left="785" w:hanging="360"/>
      </w:pPr>
      <w:rPr>
        <w:rFonts w:ascii="Arial" w:hAnsi="Arial" w:cs="Arial" w:hint="default"/>
        <w:strike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8"/>
  </w:num>
  <w:num w:numId="9">
    <w:abstractNumId w:val="2"/>
  </w:num>
  <w:num w:numId="10">
    <w:abstractNumId w:val="10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C8C"/>
    <w:rsid w:val="005A595C"/>
    <w:rsid w:val="00B25AF8"/>
    <w:rsid w:val="00BE3C8C"/>
    <w:rsid w:val="00E2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313997-2152-41BD-A89B-92AF3A76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E3C8C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E3C8C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BE3C8C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BE3C8C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BE3C8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textovodkaz">
    <w:name w:val="Hyperlink"/>
    <w:uiPriority w:val="99"/>
    <w:unhideWhenUsed/>
    <w:rsid w:val="00BE3C8C"/>
    <w:rPr>
      <w:color w:val="0000FF"/>
      <w:u w:val="single"/>
    </w:rPr>
  </w:style>
  <w:style w:type="paragraph" w:customStyle="1" w:styleId="Podnadpis1">
    <w:name w:val="Podnadpis1"/>
    <w:uiPriority w:val="99"/>
    <w:qFormat/>
    <w:rsid w:val="00BE3C8C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paragraph" w:customStyle="1" w:styleId="Odstavecmj">
    <w:name w:val="Odstavec můj"/>
    <w:basedOn w:val="Normln"/>
    <w:uiPriority w:val="99"/>
    <w:qFormat/>
    <w:rsid w:val="00BE3C8C"/>
    <w:pPr>
      <w:spacing w:after="120"/>
      <w:ind w:firstLine="709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BE3C8C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Default">
    <w:name w:val="Default"/>
    <w:rsid w:val="00BE3C8C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c.europa.eu/docsroom/documents/15582/attachments/1/translations/cs/renditions/nativ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2560</Words>
  <Characters>15109</Characters>
  <Application>Microsoft Office Word</Application>
  <DocSecurity>0</DocSecurity>
  <Lines>125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2022-12-08T07:43:00Z</dcterms:created>
  <dcterms:modified xsi:type="dcterms:W3CDTF">2022-12-08T07:43:00Z</dcterms:modified>
</cp:coreProperties>
</file>