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EB0253" w14:textId="77777777" w:rsidR="000C00A7" w:rsidRPr="00E37AD7" w:rsidRDefault="000C00A7" w:rsidP="000C00A7">
      <w:pPr>
        <w:rPr>
          <w:rFonts w:cs="Arial"/>
          <w:b/>
          <w:bCs/>
          <w:sz w:val="24"/>
          <w:szCs w:val="24"/>
        </w:rPr>
      </w:pPr>
      <w:r w:rsidRPr="00E37AD7">
        <w:rPr>
          <w:rFonts w:cs="Arial"/>
          <w:b/>
          <w:bCs/>
          <w:sz w:val="24"/>
          <w:szCs w:val="24"/>
        </w:rPr>
        <w:t>9.F.i.   Odborné konzultace</w:t>
      </w:r>
    </w:p>
    <w:p w14:paraId="01C529AF" w14:textId="77777777" w:rsidR="000C00A7" w:rsidRPr="00E37AD7" w:rsidRDefault="000C00A7" w:rsidP="000C00A7">
      <w:pPr>
        <w:pStyle w:val="Bezmezer"/>
        <w:spacing w:before="240" w:after="120"/>
        <w:jc w:val="both"/>
        <w:rPr>
          <w:rFonts w:ascii="Arial" w:hAnsi="Arial" w:cs="Arial"/>
          <w:b/>
          <w:sz w:val="24"/>
          <w:szCs w:val="24"/>
        </w:rPr>
      </w:pPr>
      <w:r w:rsidRPr="00E37AD7">
        <w:rPr>
          <w:rFonts w:ascii="Arial" w:hAnsi="Arial" w:cs="Arial"/>
          <w:b/>
          <w:sz w:val="24"/>
          <w:szCs w:val="24"/>
        </w:rPr>
        <w:t xml:space="preserve">1   Účel dotace </w:t>
      </w:r>
    </w:p>
    <w:p w14:paraId="03DCD80C" w14:textId="77777777" w:rsidR="000C00A7" w:rsidRPr="00E37AD7" w:rsidRDefault="000C00A7" w:rsidP="000C00A7">
      <w:pPr>
        <w:pStyle w:val="Bezmezer"/>
        <w:spacing w:after="120"/>
        <w:jc w:val="both"/>
        <w:rPr>
          <w:rFonts w:ascii="Arial" w:hAnsi="Arial" w:cs="Arial"/>
          <w:sz w:val="24"/>
          <w:szCs w:val="24"/>
        </w:rPr>
      </w:pPr>
      <w:r w:rsidRPr="00E37AD7">
        <w:rPr>
          <w:rFonts w:ascii="Arial" w:hAnsi="Arial" w:cs="Arial"/>
          <w:sz w:val="24"/>
          <w:szCs w:val="24"/>
        </w:rPr>
        <w:t xml:space="preserve">Konzultační a metodická pomoc zemědělským podnikům v souladu s čl. 22 nařízení Komise (EU) 2022/2472 a dále podnikům v oblasti lesnictví v souladu s čl. 48 nařízení Komise (EU) 2022/2472 formou šíření informací při realizaci společné zemědělské politiky, transfer výsledků výzkumu a vývoje do praxe. </w:t>
      </w:r>
    </w:p>
    <w:p w14:paraId="4A59040D" w14:textId="77777777" w:rsidR="000C00A7" w:rsidRPr="00E37AD7" w:rsidRDefault="000C00A7" w:rsidP="000C00A7">
      <w:pPr>
        <w:pStyle w:val="Bezmezer"/>
        <w:spacing w:before="240" w:after="120"/>
        <w:jc w:val="both"/>
        <w:rPr>
          <w:rFonts w:ascii="Arial" w:hAnsi="Arial" w:cs="Arial"/>
          <w:b/>
          <w:sz w:val="24"/>
          <w:szCs w:val="24"/>
        </w:rPr>
      </w:pPr>
      <w:r w:rsidRPr="00E37AD7">
        <w:rPr>
          <w:rFonts w:ascii="Arial" w:hAnsi="Arial" w:cs="Arial"/>
          <w:b/>
          <w:sz w:val="24"/>
          <w:szCs w:val="24"/>
        </w:rPr>
        <w:t xml:space="preserve">2   Předmět dotace </w:t>
      </w:r>
    </w:p>
    <w:p w14:paraId="53FD4054" w14:textId="77777777" w:rsidR="000C00A7" w:rsidRPr="00E37AD7" w:rsidRDefault="000C00A7" w:rsidP="000C00A7">
      <w:pPr>
        <w:spacing w:after="240"/>
        <w:jc w:val="both"/>
        <w:rPr>
          <w:rFonts w:cs="Arial"/>
          <w:sz w:val="24"/>
          <w:szCs w:val="24"/>
        </w:rPr>
      </w:pPr>
      <w:r w:rsidRPr="00E37AD7">
        <w:rPr>
          <w:rFonts w:cs="Arial"/>
          <w:sz w:val="24"/>
          <w:szCs w:val="24"/>
        </w:rPr>
        <w:t>Podpora poradenství v zemědělství a lesnictví zaměřená na odborné konzultace formou telefonického, písemného (elektronického nebo listinného) či osobního kontaktu na pracovišti konzultanta časově limitovaného (do 90 minut), které pomohou tazateli zodpovědět jednotlivý odborně zaměřený dotaz provozního charakteru.“</w:t>
      </w:r>
    </w:p>
    <w:p w14:paraId="3599AA5D" w14:textId="77777777" w:rsidR="000C00A7" w:rsidRPr="00E37AD7" w:rsidRDefault="000C00A7" w:rsidP="000C00A7">
      <w:pPr>
        <w:pStyle w:val="Bezmezer"/>
        <w:spacing w:after="240"/>
        <w:jc w:val="both"/>
        <w:rPr>
          <w:rFonts w:ascii="Arial" w:hAnsi="Arial" w:cs="Arial"/>
          <w:sz w:val="24"/>
          <w:szCs w:val="24"/>
        </w:rPr>
      </w:pPr>
      <w:r w:rsidRPr="00E37AD7">
        <w:rPr>
          <w:rFonts w:ascii="Arial" w:hAnsi="Arial" w:cs="Arial"/>
          <w:bCs/>
          <w:sz w:val="24"/>
          <w:szCs w:val="24"/>
        </w:rPr>
        <w:t>Pro oblast zemědělství je poradenství spojeno alespoň s jedním specifickým cílem uvedeným v článku 6 nařízení (EU) 2021/2115 a zahrnuje nejméně jeden z prvků nařízení Komise (EU) 2022/2472, čl. 22, odstavec 3., písm. a) – i) a dále může zahrnovat poradenství dle odstavce 4 tohoto nařízení.</w:t>
      </w:r>
    </w:p>
    <w:p w14:paraId="63296F13" w14:textId="77777777" w:rsidR="000C00A7" w:rsidRPr="00E37AD7" w:rsidRDefault="000C00A7" w:rsidP="000C00A7">
      <w:pPr>
        <w:pStyle w:val="Bezmezer"/>
        <w:jc w:val="both"/>
        <w:rPr>
          <w:rFonts w:ascii="Arial" w:hAnsi="Arial" w:cs="Arial"/>
          <w:sz w:val="24"/>
          <w:szCs w:val="24"/>
        </w:rPr>
      </w:pPr>
      <w:r w:rsidRPr="00E37AD7">
        <w:rPr>
          <w:rFonts w:ascii="Arial" w:hAnsi="Arial" w:cs="Arial"/>
          <w:sz w:val="24"/>
          <w:szCs w:val="24"/>
        </w:rPr>
        <w:t>Pro oblast lesnictví se poradenství vztahuje přinejmenším na otázky související s prováděním směrnic a nařízení dle čl. 48, odstavec 3 nařízení Komise (EU) 2022/2472. Dále se u předmětných služeb nesmí jednat o trvalou nebo pravidelnou činnost a tyto služby nesmějí souviset ani s provozními náklady podniku. Poradenské služby mají ekonomický, environmentální a společenský rozměr a poskytují aktuální technologické a vědecké informace získané prostřednictvím výzkumu a inovací.</w:t>
      </w:r>
    </w:p>
    <w:p w14:paraId="47971C12" w14:textId="77777777" w:rsidR="000C00A7" w:rsidRPr="00E37AD7" w:rsidRDefault="000C00A7" w:rsidP="000C00A7">
      <w:pPr>
        <w:pStyle w:val="Bezmezer"/>
        <w:spacing w:before="240" w:after="120"/>
        <w:jc w:val="both"/>
        <w:rPr>
          <w:rFonts w:ascii="Arial" w:hAnsi="Arial" w:cs="Arial"/>
          <w:b/>
          <w:sz w:val="24"/>
          <w:szCs w:val="24"/>
        </w:rPr>
      </w:pPr>
      <w:r w:rsidRPr="00E37AD7">
        <w:rPr>
          <w:rFonts w:ascii="Arial" w:hAnsi="Arial" w:cs="Arial"/>
          <w:b/>
          <w:sz w:val="24"/>
          <w:szCs w:val="24"/>
        </w:rPr>
        <w:t xml:space="preserve">3   Žadatel </w:t>
      </w:r>
    </w:p>
    <w:p w14:paraId="0B1CB529" w14:textId="77777777" w:rsidR="000C00A7" w:rsidRPr="00E37AD7" w:rsidRDefault="000C00A7" w:rsidP="000C00A7">
      <w:pPr>
        <w:pStyle w:val="Bezmezer"/>
        <w:numPr>
          <w:ilvl w:val="0"/>
          <w:numId w:val="1"/>
        </w:numPr>
        <w:spacing w:after="80"/>
        <w:ind w:left="397" w:hanging="397"/>
        <w:jc w:val="both"/>
        <w:rPr>
          <w:rFonts w:ascii="Arial" w:hAnsi="Arial" w:cs="Arial"/>
          <w:sz w:val="24"/>
          <w:szCs w:val="24"/>
        </w:rPr>
      </w:pPr>
      <w:r w:rsidRPr="00E37AD7">
        <w:rPr>
          <w:rFonts w:ascii="Arial" w:hAnsi="Arial" w:cs="Arial"/>
          <w:sz w:val="24"/>
          <w:szCs w:val="24"/>
        </w:rPr>
        <w:t xml:space="preserve">Resortně orientované výzkumné ústavy, které mají v předmětu činnosti poradenství a jejichž zaměření na výzkum v oblasti resortní působnosti je převažující činností. </w:t>
      </w:r>
    </w:p>
    <w:p w14:paraId="675E9878" w14:textId="77777777" w:rsidR="000C00A7" w:rsidRPr="00E37AD7" w:rsidRDefault="000C00A7" w:rsidP="000C00A7">
      <w:pPr>
        <w:pStyle w:val="Bezmezer"/>
        <w:numPr>
          <w:ilvl w:val="0"/>
          <w:numId w:val="1"/>
        </w:numPr>
        <w:ind w:left="397" w:hanging="397"/>
        <w:jc w:val="both"/>
        <w:rPr>
          <w:rFonts w:ascii="Arial" w:hAnsi="Arial" w:cs="Arial"/>
          <w:sz w:val="24"/>
          <w:szCs w:val="24"/>
        </w:rPr>
      </w:pPr>
      <w:r w:rsidRPr="00E37AD7">
        <w:rPr>
          <w:rFonts w:ascii="Arial" w:hAnsi="Arial" w:cs="Arial"/>
          <w:sz w:val="24"/>
          <w:szCs w:val="24"/>
        </w:rPr>
        <w:t xml:space="preserve">Česká zemědělská univerzita v Praze, Jihočeská univerzita v Českých Budějovicích, Mendelova univerzita v Brně, Veterinární univerzita Brno. </w:t>
      </w:r>
    </w:p>
    <w:p w14:paraId="330C24BD" w14:textId="77777777" w:rsidR="000C00A7" w:rsidRPr="00E37AD7" w:rsidRDefault="000C00A7" w:rsidP="000C00A7">
      <w:pPr>
        <w:pStyle w:val="Bezmezer"/>
        <w:spacing w:before="240" w:after="120"/>
        <w:jc w:val="both"/>
        <w:rPr>
          <w:rFonts w:ascii="Arial" w:hAnsi="Arial" w:cs="Arial"/>
          <w:b/>
          <w:sz w:val="24"/>
          <w:szCs w:val="24"/>
        </w:rPr>
      </w:pPr>
      <w:r w:rsidRPr="00E37AD7">
        <w:rPr>
          <w:rFonts w:ascii="Arial" w:hAnsi="Arial" w:cs="Arial"/>
          <w:b/>
          <w:sz w:val="24"/>
          <w:szCs w:val="24"/>
        </w:rPr>
        <w:t xml:space="preserve">4   Dotace </w:t>
      </w:r>
    </w:p>
    <w:p w14:paraId="73EA24C6" w14:textId="77777777" w:rsidR="000C00A7" w:rsidRPr="00E37AD7" w:rsidRDefault="000C00A7" w:rsidP="000C00A7">
      <w:pPr>
        <w:pStyle w:val="Bezmezer"/>
        <w:spacing w:after="80"/>
        <w:jc w:val="both"/>
        <w:rPr>
          <w:rFonts w:ascii="Arial" w:hAnsi="Arial" w:cs="Arial"/>
          <w:sz w:val="24"/>
          <w:szCs w:val="24"/>
        </w:rPr>
      </w:pPr>
      <w:r w:rsidRPr="00E37AD7">
        <w:rPr>
          <w:rFonts w:ascii="Arial" w:hAnsi="Arial" w:cs="Arial"/>
          <w:sz w:val="24"/>
          <w:szCs w:val="24"/>
        </w:rPr>
        <w:t xml:space="preserve">Forma dotace: Dotace k výsledku hospodaření (dříve neinvestiční). </w:t>
      </w:r>
    </w:p>
    <w:p w14:paraId="7891B005" w14:textId="77777777" w:rsidR="000C00A7" w:rsidRPr="00E37AD7" w:rsidRDefault="000C00A7" w:rsidP="000C00A7">
      <w:pPr>
        <w:pStyle w:val="Bezmezer"/>
        <w:spacing w:after="120"/>
        <w:jc w:val="both"/>
        <w:rPr>
          <w:rFonts w:ascii="Arial" w:hAnsi="Arial" w:cs="Arial"/>
          <w:sz w:val="24"/>
          <w:szCs w:val="24"/>
        </w:rPr>
      </w:pPr>
      <w:r w:rsidRPr="00E37AD7">
        <w:rPr>
          <w:rFonts w:ascii="Arial" w:hAnsi="Arial" w:cs="Arial"/>
          <w:sz w:val="24"/>
          <w:szCs w:val="24"/>
        </w:rPr>
        <w:t xml:space="preserve">Výše dotace: do výše 100 % uznatelných nákladů (počet konzultačních hodin x zúčtovací hodinová sazba) souvisejících s konzultacemi maximálně však do výše 550 000 Kč/žadatele. </w:t>
      </w:r>
    </w:p>
    <w:p w14:paraId="081AA5D5" w14:textId="77777777" w:rsidR="000C00A7" w:rsidRPr="00E37AD7" w:rsidRDefault="000C00A7" w:rsidP="000C00A7">
      <w:pPr>
        <w:pStyle w:val="Bezmezer"/>
        <w:spacing w:before="240" w:after="120"/>
        <w:jc w:val="both"/>
        <w:rPr>
          <w:rFonts w:ascii="Arial" w:hAnsi="Arial" w:cs="Arial"/>
          <w:sz w:val="24"/>
          <w:szCs w:val="24"/>
        </w:rPr>
      </w:pPr>
      <w:r w:rsidRPr="00E37AD7">
        <w:rPr>
          <w:rFonts w:ascii="Arial" w:hAnsi="Arial" w:cs="Arial"/>
          <w:sz w:val="24"/>
          <w:szCs w:val="24"/>
        </w:rPr>
        <w:t>Zúčtovaná hodinová sazba je vypočtena žadatelem, maximální výše zúčtovací sazby je 1 200 Kč.</w:t>
      </w:r>
    </w:p>
    <w:p w14:paraId="01589328" w14:textId="77777777" w:rsidR="000C00A7" w:rsidRPr="00E37AD7" w:rsidRDefault="000C00A7" w:rsidP="000C00A7">
      <w:pPr>
        <w:pStyle w:val="Bezmezer"/>
        <w:spacing w:before="240" w:after="120"/>
        <w:jc w:val="both"/>
        <w:rPr>
          <w:rFonts w:ascii="Arial" w:hAnsi="Arial" w:cs="Arial"/>
          <w:b/>
          <w:sz w:val="24"/>
          <w:szCs w:val="24"/>
        </w:rPr>
      </w:pPr>
      <w:r w:rsidRPr="00E37AD7">
        <w:rPr>
          <w:rFonts w:ascii="Arial" w:hAnsi="Arial" w:cs="Arial"/>
          <w:b/>
          <w:sz w:val="24"/>
          <w:szCs w:val="24"/>
        </w:rPr>
        <w:t xml:space="preserve">5   Podmínky poskytnutí dotace </w:t>
      </w:r>
    </w:p>
    <w:p w14:paraId="3E12108A" w14:textId="77777777" w:rsidR="000C00A7" w:rsidRPr="00E37AD7" w:rsidRDefault="000C00A7" w:rsidP="000C00A7">
      <w:pPr>
        <w:pStyle w:val="Default"/>
        <w:numPr>
          <w:ilvl w:val="0"/>
          <w:numId w:val="2"/>
        </w:numPr>
        <w:spacing w:after="120"/>
        <w:ind w:left="397" w:hanging="397"/>
        <w:jc w:val="both"/>
        <w:rPr>
          <w:rFonts w:ascii="Arial" w:hAnsi="Arial" w:cs="Arial"/>
          <w:color w:val="auto"/>
        </w:rPr>
      </w:pPr>
      <w:r w:rsidRPr="00E37AD7">
        <w:rPr>
          <w:rFonts w:ascii="Arial" w:hAnsi="Arial" w:cs="Arial"/>
          <w:color w:val="auto"/>
        </w:rPr>
        <w:t xml:space="preserve">Konzultace se musí konat v termínu od 1. 1. 2024 do 31. 12. 2024. </w:t>
      </w:r>
    </w:p>
    <w:p w14:paraId="56116203"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Žadatel musí doložit dvě žádosti o dotaci v termínech uvedených v bodě 6 Termín příjmu žádostí o dotaci. První žádost o dotaci se dokládá v jiném termínu než doklady prokazující nárok na dotaci. Druhá žádost o dotaci se dokládá ve stejném termínu jako doklady prokazující nárok na dotaci. Žadatel musí doložit doklady </w:t>
      </w:r>
      <w:r w:rsidRPr="00E37AD7">
        <w:rPr>
          <w:rFonts w:ascii="Arial" w:hAnsi="Arial" w:cs="Arial"/>
          <w:sz w:val="24"/>
          <w:szCs w:val="24"/>
        </w:rPr>
        <w:lastRenderedPageBreak/>
        <w:t xml:space="preserve">související s realizací předmětu dotace v termínech uvedených v bodě 7 Termín příjmu dokladů prokazujících nárok na dotaci. </w:t>
      </w:r>
    </w:p>
    <w:p w14:paraId="73E9F743"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Žadatel může od podání žádosti o dotaci až do vydání rozhodnutí svou žádost o dotaci změnit či upravit, nemůže ale navyšovat požadavek na objem finančních prostředků. </w:t>
      </w:r>
    </w:p>
    <w:p w14:paraId="71BFADF0"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Žadatel musí poskytovat tazatelům poradenství v oblasti zemědělství v souladu s čl. 22 nařízení Komise (EU) 2022/2472, kteří jsou mikropodnik, malý či střední podnik dle definice uvedené v příloze I nařízení Komise (EU) 2022/2472, a/nebo poradenství v oblasti lesnictví v souladu s čl. 48 nařízení Komise (EU) 2022/2472 bez omezení velikosti podniku. </w:t>
      </w:r>
    </w:p>
    <w:p w14:paraId="6180BFE7" w14:textId="77777777" w:rsidR="000C00A7" w:rsidRPr="00E37AD7" w:rsidRDefault="000C00A7" w:rsidP="000C00A7">
      <w:pPr>
        <w:numPr>
          <w:ilvl w:val="0"/>
          <w:numId w:val="2"/>
        </w:numPr>
        <w:spacing w:after="120"/>
        <w:ind w:left="397" w:hanging="397"/>
        <w:jc w:val="both"/>
        <w:rPr>
          <w:rFonts w:cs="Arial"/>
          <w:sz w:val="24"/>
          <w:szCs w:val="24"/>
        </w:rPr>
      </w:pPr>
      <w:r w:rsidRPr="00E37AD7">
        <w:rPr>
          <w:rFonts w:cs="Arial"/>
          <w:sz w:val="24"/>
          <w:szCs w:val="24"/>
        </w:rPr>
        <w:t>Žadatel musí poskytovat odborné konzultace formou telefonického, písemného (elektronického nebo listinného), či osobního kontaktu na pracovišti konzultanta.</w:t>
      </w:r>
    </w:p>
    <w:p w14:paraId="234EFA87"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Kombinace uvedených forem konzultací v rámci jednoho, tj. stejného tazatele za den je možná, maximálně však do výše 90 minut za každou formu konzultace. </w:t>
      </w:r>
    </w:p>
    <w:p w14:paraId="27EDDF51"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Žadatel musí vést o poskytovaných odborných konzultacích Deník konzultací na formuláři Fondu. </w:t>
      </w:r>
    </w:p>
    <w:p w14:paraId="6B9CEAD5"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Výše podpory je omezena do částky 25 000 EUR (s výjimkou nákladů uvedených v nařízení Komise (EU) 2022/2472, čl. 22, odstavec 4) na období tří let pro účely poradenství poskytnutého poskytovateli služeb jedinému příjemci působícímu v oblasti zemědělské prvovýroby (nařízení Komise (EU) 2022/2472, čl. 2, odstavec 44) nebo do částky 200 000 EUR (s výjimkou nákladů uvedených v nařízení Komise (EU) 2022/2472, čl. 22, odstavec 4) na období tří let na účely poradenství poskytnutého poskytovateli služeb jedinému příjemci působícímu v oblasti zpracování zemědělských produktů a jejich uvádění na trh (nařízení Komise (EU) 2022/2472, čl. 2, odstavec 35 a 45). Podpora na poradenské služby v odvětví lesnictví v průběhu tříletého období nepřesáhne 200 000 EUR na podnik. Přepočítává se platným kurzem posledního pracovního dne dotačního období, tj. 30. 6. 2024, resp. 31. 12. 2024.</w:t>
      </w:r>
    </w:p>
    <w:p w14:paraId="7DE9E75C"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Uzavření smlouvy s tazatelem musí být v souladu se zákonem č. 89/2012 Sb., občanský zákoník, ve znění pozdějších předpisů a uzavření smlouvy přijetím nabídky je možno učinit ústně. </w:t>
      </w:r>
    </w:p>
    <w:p w14:paraId="115DA98A"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Žadatel musí doložit Deník konzultací za měsíce I., II., III., IV., V., VI. roku 2024 a za měsíce VII., VIII., IX., X., XI., XII. roku 2024 v termínech uvedených v bodě 7 Termín příjmu dokladů. </w:t>
      </w:r>
    </w:p>
    <w:p w14:paraId="513DC303"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V dílčích zprávách žadatel musí uvést zvlášť pro oblast zemědělství a oblast lesnictví celkový počet konzultací včetně celkového počtu konzultačních hodin a minut, použité formy konzultací včetně jejich počtu, obsahové zaměření dotazů, finanční přehled zjištěný z počtu konzultačních hodin/minut a hodinové zúčtovací sazby včetně kalkulace. </w:t>
      </w:r>
    </w:p>
    <w:p w14:paraId="496F268D"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Žadatel doloží zvlášť dílčí zprávy za měsíce I., II., III., IV., V., VI. roku 2024 a za měsíce VII., VIII., IX., X., XI., XII. roku 2024 v termínech uvedených v bodě 7 Termín příjmu dokladů.   </w:t>
      </w:r>
    </w:p>
    <w:p w14:paraId="4826CE9B" w14:textId="77777777" w:rsidR="000C00A7" w:rsidRPr="00E37AD7" w:rsidRDefault="000C00A7" w:rsidP="000C00A7">
      <w:pPr>
        <w:pStyle w:val="Bezmezer"/>
        <w:numPr>
          <w:ilvl w:val="0"/>
          <w:numId w:val="2"/>
        </w:numPr>
        <w:spacing w:after="120"/>
        <w:ind w:left="397" w:hanging="397"/>
        <w:jc w:val="both"/>
        <w:rPr>
          <w:rFonts w:ascii="Arial" w:hAnsi="Arial" w:cs="Arial"/>
          <w:sz w:val="24"/>
          <w:szCs w:val="24"/>
        </w:rPr>
      </w:pPr>
      <w:r w:rsidRPr="00E37AD7">
        <w:rPr>
          <w:rFonts w:ascii="Arial" w:hAnsi="Arial" w:cs="Arial"/>
          <w:sz w:val="24"/>
          <w:szCs w:val="24"/>
        </w:rPr>
        <w:t xml:space="preserve">Žadatel doloží s druhou dílčí zprávou i celkovou souhrnnou zprávu, ve které musí uvést zmapování kritických oblastí a činností ve výrobní praxi v resortu, za rok 2024 v termínu od 3. 1. 2025 do 15. 1. 2025. </w:t>
      </w:r>
    </w:p>
    <w:p w14:paraId="13D0F2EB" w14:textId="77777777" w:rsidR="000C00A7" w:rsidRPr="00E37AD7" w:rsidRDefault="000C00A7" w:rsidP="000C00A7">
      <w:pPr>
        <w:pStyle w:val="Bezmezer"/>
        <w:spacing w:before="240" w:after="120"/>
        <w:jc w:val="both"/>
        <w:rPr>
          <w:rFonts w:ascii="Arial" w:hAnsi="Arial" w:cs="Arial"/>
          <w:b/>
          <w:sz w:val="24"/>
          <w:szCs w:val="24"/>
        </w:rPr>
      </w:pPr>
      <w:r w:rsidRPr="00E37AD7">
        <w:rPr>
          <w:rFonts w:ascii="Arial" w:hAnsi="Arial" w:cs="Arial"/>
          <w:b/>
          <w:sz w:val="24"/>
          <w:szCs w:val="24"/>
        </w:rPr>
        <w:lastRenderedPageBreak/>
        <w:t xml:space="preserve">6   Termín příjmu žádostí o dotaci </w:t>
      </w:r>
    </w:p>
    <w:p w14:paraId="5203D658" w14:textId="77777777" w:rsidR="000C00A7" w:rsidRPr="00E37AD7" w:rsidRDefault="000C00A7" w:rsidP="000C00A7">
      <w:pPr>
        <w:pStyle w:val="Bezmezer"/>
        <w:spacing w:after="120"/>
        <w:jc w:val="both"/>
        <w:rPr>
          <w:rFonts w:ascii="Arial" w:hAnsi="Arial" w:cs="Arial"/>
          <w:sz w:val="24"/>
          <w:szCs w:val="24"/>
        </w:rPr>
      </w:pPr>
      <w:r w:rsidRPr="00E37AD7">
        <w:rPr>
          <w:rFonts w:ascii="Arial" w:hAnsi="Arial" w:cs="Arial"/>
          <w:sz w:val="24"/>
          <w:szCs w:val="24"/>
        </w:rPr>
        <w:t>Příjem první žádosti o dotaci pro rok 2024 začíná 15. 12. 2023 a končí 31. 12. 2023.</w:t>
      </w:r>
    </w:p>
    <w:p w14:paraId="7842D7EA" w14:textId="77777777" w:rsidR="000C00A7" w:rsidRPr="00E37AD7" w:rsidRDefault="000C00A7" w:rsidP="000C00A7">
      <w:pPr>
        <w:pStyle w:val="Bezmezer"/>
        <w:spacing w:after="120"/>
        <w:jc w:val="both"/>
        <w:rPr>
          <w:rFonts w:ascii="Arial" w:hAnsi="Arial" w:cs="Arial"/>
          <w:sz w:val="24"/>
          <w:szCs w:val="24"/>
        </w:rPr>
      </w:pPr>
      <w:r w:rsidRPr="00E37AD7">
        <w:rPr>
          <w:rFonts w:ascii="Arial" w:hAnsi="Arial" w:cs="Arial"/>
          <w:sz w:val="24"/>
          <w:szCs w:val="24"/>
        </w:rPr>
        <w:t xml:space="preserve">Příjem druhé žádosti o dotaci pro rok 2024 začíná 3. 1. 2025 a končí 15. 1. 2025. </w:t>
      </w:r>
    </w:p>
    <w:p w14:paraId="37622611" w14:textId="77777777" w:rsidR="000C00A7" w:rsidRPr="00E37AD7" w:rsidRDefault="000C00A7" w:rsidP="000C00A7">
      <w:pPr>
        <w:pStyle w:val="Bezmezer"/>
        <w:spacing w:after="120"/>
        <w:jc w:val="both"/>
        <w:rPr>
          <w:rFonts w:ascii="Arial" w:hAnsi="Arial" w:cs="Arial"/>
          <w:sz w:val="24"/>
          <w:szCs w:val="24"/>
        </w:rPr>
      </w:pPr>
      <w:r w:rsidRPr="00E37AD7">
        <w:rPr>
          <w:rFonts w:ascii="Arial" w:hAnsi="Arial" w:cs="Arial"/>
          <w:sz w:val="24"/>
          <w:szCs w:val="24"/>
        </w:rPr>
        <w:t xml:space="preserve">První žádost o dotaci musí být podána před zahájením realizace předmětu dotace. </w:t>
      </w:r>
    </w:p>
    <w:p w14:paraId="4B5B2FF8" w14:textId="77777777" w:rsidR="000C00A7" w:rsidRPr="00E37AD7" w:rsidRDefault="000C00A7" w:rsidP="000C00A7">
      <w:pPr>
        <w:spacing w:before="120"/>
        <w:jc w:val="both"/>
        <w:rPr>
          <w:rFonts w:cs="Arial"/>
          <w:sz w:val="24"/>
          <w:szCs w:val="24"/>
          <w:lang w:eastAsia="cs-CZ"/>
        </w:rPr>
      </w:pPr>
      <w:r w:rsidRPr="00E37AD7">
        <w:rPr>
          <w:rFonts w:cs="Arial"/>
          <w:sz w:val="24"/>
          <w:szCs w:val="24"/>
          <w:lang w:eastAsia="cs-CZ"/>
        </w:rPr>
        <w:t xml:space="preserve">V případě pozdního podání 2. žádosti o dotaci se krácení uvedené v části A, čl. 2, písm. p) neuplatní a žádost bude zamítnuta. </w:t>
      </w:r>
    </w:p>
    <w:p w14:paraId="044C161D" w14:textId="77777777" w:rsidR="000C00A7" w:rsidRPr="00E37AD7" w:rsidRDefault="000C00A7" w:rsidP="000C00A7">
      <w:pPr>
        <w:pStyle w:val="Bezmezer"/>
        <w:spacing w:before="240" w:after="120"/>
        <w:jc w:val="both"/>
        <w:rPr>
          <w:rFonts w:ascii="Arial" w:hAnsi="Arial" w:cs="Arial"/>
          <w:b/>
          <w:sz w:val="24"/>
          <w:szCs w:val="24"/>
        </w:rPr>
      </w:pPr>
      <w:r w:rsidRPr="00E37AD7">
        <w:rPr>
          <w:rFonts w:ascii="Arial" w:hAnsi="Arial" w:cs="Arial"/>
          <w:b/>
          <w:sz w:val="24"/>
          <w:szCs w:val="24"/>
        </w:rPr>
        <w:t xml:space="preserve">7   Termín příjmu dokladů prokazujících nárok na dotaci </w:t>
      </w:r>
    </w:p>
    <w:p w14:paraId="75F901EA" w14:textId="77777777" w:rsidR="000C00A7" w:rsidRPr="00E37AD7" w:rsidRDefault="000C00A7" w:rsidP="000C00A7">
      <w:pPr>
        <w:pStyle w:val="Bezmezer"/>
        <w:spacing w:after="120"/>
        <w:rPr>
          <w:rFonts w:ascii="Arial" w:hAnsi="Arial" w:cs="Arial"/>
          <w:sz w:val="24"/>
          <w:szCs w:val="24"/>
        </w:rPr>
      </w:pPr>
      <w:r w:rsidRPr="00E37AD7">
        <w:rPr>
          <w:rFonts w:ascii="Arial" w:hAnsi="Arial" w:cs="Arial"/>
          <w:sz w:val="24"/>
          <w:szCs w:val="24"/>
        </w:rPr>
        <w:t xml:space="preserve">Příjem dokladů prokazujících nárok na dotaci: </w:t>
      </w:r>
    </w:p>
    <w:p w14:paraId="6CCB74BA" w14:textId="77777777" w:rsidR="000C00A7" w:rsidRPr="00E37AD7" w:rsidRDefault="000C00A7" w:rsidP="000C00A7">
      <w:pPr>
        <w:pStyle w:val="Bezmezer"/>
        <w:numPr>
          <w:ilvl w:val="0"/>
          <w:numId w:val="4"/>
        </w:numPr>
        <w:spacing w:after="120"/>
        <w:ind w:left="397" w:hanging="397"/>
        <w:rPr>
          <w:rFonts w:ascii="Arial" w:hAnsi="Arial" w:cs="Arial"/>
          <w:sz w:val="24"/>
          <w:szCs w:val="24"/>
        </w:rPr>
      </w:pPr>
      <w:r w:rsidRPr="00E37AD7">
        <w:rPr>
          <w:rFonts w:ascii="Arial" w:hAnsi="Arial" w:cs="Arial"/>
          <w:sz w:val="24"/>
          <w:szCs w:val="24"/>
        </w:rPr>
        <w:t xml:space="preserve">od 1. 7. 2024 do 15. 7. 2024 za měsíce I., II., III., IV., V., VI. roku 2024, </w:t>
      </w:r>
    </w:p>
    <w:p w14:paraId="5449F430" w14:textId="77777777" w:rsidR="000C00A7" w:rsidRPr="00E37AD7" w:rsidRDefault="000C00A7" w:rsidP="000C00A7">
      <w:pPr>
        <w:pStyle w:val="Bezmezer"/>
        <w:numPr>
          <w:ilvl w:val="0"/>
          <w:numId w:val="4"/>
        </w:numPr>
        <w:spacing w:after="120"/>
        <w:ind w:left="397" w:hanging="397"/>
        <w:rPr>
          <w:rFonts w:ascii="Arial" w:hAnsi="Arial" w:cs="Arial"/>
          <w:sz w:val="24"/>
          <w:szCs w:val="24"/>
        </w:rPr>
      </w:pPr>
      <w:r w:rsidRPr="00E37AD7">
        <w:rPr>
          <w:rFonts w:ascii="Arial" w:hAnsi="Arial" w:cs="Arial"/>
          <w:sz w:val="24"/>
          <w:szCs w:val="24"/>
        </w:rPr>
        <w:t xml:space="preserve">od 3. 1. 2025 do 15. 1. 2025 za měsíce VII., VIII., IX., X., XI., XII. roku 2024. </w:t>
      </w:r>
    </w:p>
    <w:p w14:paraId="3429AF94" w14:textId="77777777" w:rsidR="000C00A7" w:rsidRPr="00E37AD7" w:rsidRDefault="000C00A7" w:rsidP="000C00A7">
      <w:pPr>
        <w:pStyle w:val="Bezmezer"/>
        <w:spacing w:after="80"/>
        <w:jc w:val="both"/>
        <w:rPr>
          <w:rFonts w:ascii="Arial" w:hAnsi="Arial" w:cs="Arial"/>
          <w:sz w:val="24"/>
          <w:szCs w:val="24"/>
        </w:rPr>
      </w:pPr>
      <w:r w:rsidRPr="00E37AD7">
        <w:rPr>
          <w:rFonts w:ascii="Arial" w:hAnsi="Arial" w:cs="Arial"/>
          <w:sz w:val="24"/>
          <w:szCs w:val="24"/>
        </w:rPr>
        <w:t xml:space="preserve">Doklady prokazující nárok na dotaci musí být podány po ukončení realizace předmětu dotace. </w:t>
      </w:r>
    </w:p>
    <w:p w14:paraId="3E4187F3" w14:textId="77777777" w:rsidR="000C00A7" w:rsidRPr="00E37AD7" w:rsidRDefault="000C00A7" w:rsidP="000C00A7">
      <w:pPr>
        <w:pStyle w:val="Bezmezer"/>
        <w:spacing w:before="240" w:after="120"/>
        <w:jc w:val="both"/>
        <w:rPr>
          <w:rFonts w:ascii="Arial" w:hAnsi="Arial" w:cs="Arial"/>
          <w:b/>
          <w:sz w:val="24"/>
          <w:szCs w:val="24"/>
        </w:rPr>
      </w:pPr>
      <w:r w:rsidRPr="00E37AD7">
        <w:rPr>
          <w:rFonts w:ascii="Arial" w:hAnsi="Arial" w:cs="Arial"/>
          <w:b/>
          <w:sz w:val="24"/>
          <w:szCs w:val="24"/>
        </w:rPr>
        <w:t xml:space="preserve">8   Doklady prokazující nárok na dotaci </w:t>
      </w:r>
    </w:p>
    <w:p w14:paraId="73093E2E" w14:textId="77777777" w:rsidR="000C00A7" w:rsidRPr="00E37AD7" w:rsidRDefault="000C00A7" w:rsidP="000C00A7">
      <w:pPr>
        <w:pStyle w:val="Bezmezer"/>
        <w:numPr>
          <w:ilvl w:val="0"/>
          <w:numId w:val="3"/>
        </w:numPr>
        <w:spacing w:after="120"/>
        <w:ind w:left="397" w:hanging="397"/>
        <w:jc w:val="both"/>
        <w:rPr>
          <w:rFonts w:ascii="Arial" w:hAnsi="Arial" w:cs="Arial"/>
          <w:sz w:val="24"/>
          <w:szCs w:val="24"/>
        </w:rPr>
      </w:pPr>
      <w:r w:rsidRPr="00E37AD7">
        <w:rPr>
          <w:rFonts w:ascii="Arial" w:hAnsi="Arial" w:cs="Arial"/>
          <w:sz w:val="24"/>
          <w:szCs w:val="24"/>
        </w:rPr>
        <w:t xml:space="preserve">Deník konzultací, první dílčí zpráva o konzultacích za měsíce I., II., III., IV., V., VI. roku 2024 a kalkulace zúčtovací hodinové sazby (osobní náklady a režie – energie, vodné, stočné, nájem, telefonické a internetové připojení apod.), doložené v termínu uvedeném v bodě 7 Termín příjmu dokladů. </w:t>
      </w:r>
    </w:p>
    <w:p w14:paraId="44A360CC" w14:textId="77777777" w:rsidR="000C00A7" w:rsidRPr="00E37AD7" w:rsidRDefault="000C00A7" w:rsidP="000C00A7">
      <w:pPr>
        <w:pStyle w:val="Bezmezer"/>
        <w:numPr>
          <w:ilvl w:val="0"/>
          <w:numId w:val="3"/>
        </w:numPr>
        <w:spacing w:after="120"/>
        <w:ind w:left="397" w:hanging="397"/>
        <w:jc w:val="both"/>
        <w:rPr>
          <w:rFonts w:ascii="Arial" w:hAnsi="Arial" w:cs="Arial"/>
          <w:sz w:val="24"/>
          <w:szCs w:val="24"/>
        </w:rPr>
      </w:pPr>
      <w:r w:rsidRPr="00E37AD7">
        <w:rPr>
          <w:rFonts w:ascii="Arial" w:hAnsi="Arial" w:cs="Arial"/>
          <w:sz w:val="24"/>
          <w:szCs w:val="24"/>
        </w:rPr>
        <w:t>Deník konzultací, druhá dílčí zpráva o konzultacích za měsíce VII., VIII., IX., X., XI., XII. roku 2024 a kalkulace zúčtovací hodinové sazby (osobní náklady a režie – energie, vodné, stočné, nájem, telefonické a internetové připojení apod.) celková souhrnná zpráva v termínu uvedeném v bodě 7 Termín příjmu dokladů.</w:t>
      </w:r>
    </w:p>
    <w:p w14:paraId="05EDCE41" w14:textId="40C4D699" w:rsidR="004A263B" w:rsidRDefault="004A263B" w:rsidP="000C00A7"/>
    <w:sectPr w:rsidR="004A263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EUAlbertina">
    <w:altName w:val="Cambria"/>
    <w:panose1 w:val="00000000000000000000"/>
    <w:charset w:val="EE"/>
    <w:family w:val="swiss"/>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3D403F"/>
    <w:multiLevelType w:val="hybridMultilevel"/>
    <w:tmpl w:val="EC9EF3E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397914DC"/>
    <w:multiLevelType w:val="hybridMultilevel"/>
    <w:tmpl w:val="BDAAB34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45C437BF"/>
    <w:multiLevelType w:val="hybridMultilevel"/>
    <w:tmpl w:val="C1627BEC"/>
    <w:lvl w:ilvl="0" w:tplc="D33A18FC">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45DB1A61"/>
    <w:multiLevelType w:val="hybridMultilevel"/>
    <w:tmpl w:val="6DE6A1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0A7"/>
    <w:rsid w:val="00095BB1"/>
    <w:rsid w:val="000C00A7"/>
    <w:rsid w:val="004A263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126E53"/>
  <w15:chartTrackingRefBased/>
  <w15:docId w15:val="{622E8956-8D57-4B6D-AC04-CA9F15BF7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C00A7"/>
    <w:pPr>
      <w:spacing w:after="0" w:line="240" w:lineRule="auto"/>
    </w:pPr>
    <w:rPr>
      <w:rFonts w:ascii="Arial" w:eastAsia="Calibri" w:hAnsi="Arial"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Bezmezer">
    <w:name w:val="No Spacing"/>
    <w:uiPriority w:val="1"/>
    <w:qFormat/>
    <w:rsid w:val="000C00A7"/>
    <w:pPr>
      <w:spacing w:after="0" w:line="240" w:lineRule="auto"/>
    </w:pPr>
    <w:rPr>
      <w:rFonts w:ascii="Calibri" w:eastAsia="Calibri" w:hAnsi="Calibri" w:cs="Times New Roman"/>
    </w:rPr>
  </w:style>
  <w:style w:type="paragraph" w:customStyle="1" w:styleId="Default">
    <w:name w:val="Default"/>
    <w:qFormat/>
    <w:rsid w:val="000C00A7"/>
    <w:pPr>
      <w:autoSpaceDE w:val="0"/>
      <w:autoSpaceDN w:val="0"/>
      <w:adjustRightInd w:val="0"/>
      <w:spacing w:after="0" w:line="240" w:lineRule="auto"/>
    </w:pPr>
    <w:rPr>
      <w:rFonts w:ascii="EUAlbertina" w:eastAsia="Calibri" w:hAnsi="EUAlbertina" w:cs="EUAlbertin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1016</Words>
  <Characters>5998</Characters>
  <Application>Microsoft Office Word</Application>
  <DocSecurity>0</DocSecurity>
  <Lines>49</Lines>
  <Paragraphs>13</Paragraphs>
  <ScaleCrop>false</ScaleCrop>
  <Company/>
  <LinksUpToDate>false</LinksUpToDate>
  <CharactersWithSpaces>7001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Grýgerová Kateřina Ing.</dc:creator>
  <cp:keywords/>
  <dc:description/>
  <cp:lastModifiedBy>Rebcová Kateřina Ing.</cp:lastModifiedBy>
  <cp:revision>2</cp:revision>
  <dcterms:created xsi:type="dcterms:W3CDTF">2023-12-14T13:36:00Z</dcterms:created>
  <dcterms:modified xsi:type="dcterms:W3CDTF">2023-12-14T13:36:00Z</dcterms:modified>
</cp:coreProperties>
</file>