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E43" w:rsidRPr="00467357" w:rsidRDefault="009D5E43" w:rsidP="009D5E43">
      <w:pPr>
        <w:pStyle w:val="Podnadpis1"/>
        <w:spacing w:after="120"/>
        <w:rPr>
          <w:rFonts w:cs="Arial"/>
          <w:sz w:val="32"/>
        </w:rPr>
      </w:pPr>
      <w:bookmarkStart w:id="0" w:name="_GoBack"/>
      <w:bookmarkEnd w:id="0"/>
      <w:r w:rsidRPr="00467357">
        <w:rPr>
          <w:rFonts w:cs="Arial"/>
          <w:sz w:val="32"/>
        </w:rPr>
        <w:t>Zásady,</w:t>
      </w:r>
    </w:p>
    <w:p w:rsidR="009D5E43" w:rsidRPr="00467357" w:rsidRDefault="009D5E43" w:rsidP="009D5E43">
      <w:pPr>
        <w:pStyle w:val="Podnadpis1"/>
        <w:spacing w:after="120"/>
      </w:pPr>
      <w:r w:rsidRPr="00467357">
        <w:rPr>
          <w:rFonts w:cs="Arial"/>
          <w:sz w:val="32"/>
        </w:rPr>
        <w:t>kterými se stanovují podmínky pro poskytování dotací</w:t>
      </w:r>
    </w:p>
    <w:p w:rsidR="009D5E43" w:rsidRPr="00467357" w:rsidRDefault="009D5E43" w:rsidP="009D5E43">
      <w:pPr>
        <w:pStyle w:val="Podnadpis1"/>
        <w:spacing w:after="120"/>
      </w:pPr>
      <w:r w:rsidRPr="00467357">
        <w:rPr>
          <w:rFonts w:cs="Arial"/>
          <w:sz w:val="32"/>
        </w:rPr>
        <w:t>pro rok 2023</w:t>
      </w:r>
    </w:p>
    <w:p w:rsidR="009D5E43" w:rsidRPr="00467357" w:rsidRDefault="009D5E43" w:rsidP="009D5E43">
      <w:pPr>
        <w:pStyle w:val="Podnadpis1"/>
        <w:spacing w:after="120"/>
      </w:pPr>
      <w:r w:rsidRPr="00467357">
        <w:rPr>
          <w:rFonts w:cs="Arial"/>
          <w:sz w:val="32"/>
        </w:rPr>
        <w:t>na základě § 1, § 2 a § 2d zákona č. 252/1997 Sb.,</w:t>
      </w:r>
    </w:p>
    <w:p w:rsidR="009D5E43" w:rsidRPr="00467357" w:rsidRDefault="009D5E43" w:rsidP="009D5E43">
      <w:pPr>
        <w:pStyle w:val="Podnadpis1"/>
        <w:spacing w:after="120"/>
        <w:rPr>
          <w:rFonts w:cs="Arial"/>
          <w:sz w:val="32"/>
        </w:rPr>
      </w:pPr>
      <w:r w:rsidRPr="00467357">
        <w:rPr>
          <w:rFonts w:cs="Arial"/>
          <w:sz w:val="32"/>
        </w:rPr>
        <w:t>o zemědělství, ve znění pozdějších předpisů</w:t>
      </w:r>
    </w:p>
    <w:p w:rsidR="009D5E43" w:rsidRPr="00467357" w:rsidRDefault="009D5E43" w:rsidP="009D5E43">
      <w:pPr>
        <w:pStyle w:val="Podnadpis1"/>
        <w:spacing w:after="120"/>
        <w:rPr>
          <w:sz w:val="28"/>
          <w:szCs w:val="28"/>
        </w:rPr>
      </w:pPr>
      <w:r w:rsidRPr="00467357">
        <w:rPr>
          <w:rFonts w:cs="Arial"/>
          <w:sz w:val="28"/>
          <w:szCs w:val="28"/>
        </w:rPr>
        <w:t xml:space="preserve">č. j. </w:t>
      </w:r>
      <w:r w:rsidRPr="00467357">
        <w:rPr>
          <w:rFonts w:cs="Arial"/>
          <w:bCs/>
          <w:sz w:val="28"/>
          <w:szCs w:val="28"/>
        </w:rPr>
        <w:t>MZE-39399/2022-13111</w:t>
      </w:r>
    </w:p>
    <w:p w:rsidR="009D5E43" w:rsidRPr="00467357" w:rsidRDefault="009D5E43" w:rsidP="009D5E43">
      <w:pPr>
        <w:pStyle w:val="Nadpis2"/>
        <w:spacing w:before="240"/>
        <w:jc w:val="center"/>
        <w:rPr>
          <w:color w:val="000000"/>
        </w:rPr>
      </w:pPr>
      <w:bookmarkStart w:id="1" w:name="_Toc120254539"/>
      <w:r w:rsidRPr="00467357">
        <w:rPr>
          <w:color w:val="000000"/>
        </w:rPr>
        <w:t>Část A</w:t>
      </w:r>
      <w:bookmarkEnd w:id="1"/>
    </w:p>
    <w:p w:rsidR="009D5E43" w:rsidRPr="00467357" w:rsidRDefault="009D5E43" w:rsidP="009D5E43">
      <w:pPr>
        <w:pStyle w:val="Nadpis2"/>
        <w:spacing w:after="240"/>
        <w:jc w:val="center"/>
        <w:rPr>
          <w:color w:val="000000"/>
        </w:rPr>
      </w:pPr>
      <w:bookmarkStart w:id="2" w:name="_Toc120254540"/>
      <w:r w:rsidRPr="00467357">
        <w:rPr>
          <w:color w:val="000000"/>
        </w:rPr>
        <w:t>Obecné podmínky</w:t>
      </w:r>
      <w:bookmarkEnd w:id="2"/>
    </w:p>
    <w:p w:rsidR="009D5E43" w:rsidRPr="00467357" w:rsidRDefault="009D5E43" w:rsidP="009D5E43">
      <w:pPr>
        <w:pStyle w:val="Odstavecmj"/>
        <w:spacing w:before="120" w:after="60"/>
        <w:ind w:firstLine="0"/>
        <w:rPr>
          <w:rFonts w:ascii="Arial" w:hAnsi="Arial" w:cs="Arial"/>
          <w:color w:val="000000"/>
          <w:szCs w:val="24"/>
        </w:rPr>
      </w:pPr>
      <w:r w:rsidRPr="00467357">
        <w:rPr>
          <w:rFonts w:ascii="Arial" w:hAnsi="Arial" w:cs="Arial"/>
          <w:color w:val="000000"/>
          <w:szCs w:val="24"/>
        </w:rPr>
        <w:t>Ministerstvo zemědělství (dále jen „MZe“) na základě § 1, § 2 a § 2d zákona č. 252/1997 Sb., o zemědělství, ve znění pozdějších předpisů, vydává Zásady pro rok 2023, kterými se stanovují podmínky pro poskytování dotací financovaných výhradně z národních zdrojů (dále jen „Zásady“), a to v návaznosti na přímo použitelné předpisy Evropské unie:</w:t>
      </w:r>
    </w:p>
    <w:p w:rsidR="009D5E43" w:rsidRPr="00467357" w:rsidRDefault="009D5E43" w:rsidP="009D5E43">
      <w:pPr>
        <w:pStyle w:val="Odstavecmj"/>
        <w:spacing w:before="60" w:after="60"/>
        <w:ind w:firstLine="0"/>
        <w:rPr>
          <w:rFonts w:ascii="Arial" w:hAnsi="Arial" w:cs="Arial"/>
          <w:color w:val="000000"/>
          <w:szCs w:val="24"/>
        </w:rPr>
      </w:pPr>
      <w:r w:rsidRPr="00467357">
        <w:rPr>
          <w:rFonts w:ascii="Arial" w:eastAsia="Calibri" w:hAnsi="Arial" w:cs="Arial"/>
          <w:color w:val="000000"/>
          <w:szCs w:val="24"/>
          <w:lang w:eastAsia="en-US"/>
        </w:rPr>
        <w:t>Hlava VII Kapitola 1 oddíl 2 Smlouvy o fungování Evropské unie,</w:t>
      </w:r>
    </w:p>
    <w:p w:rsidR="009D5E43" w:rsidRPr="00467357" w:rsidRDefault="009D5E43" w:rsidP="009D5E43">
      <w:pPr>
        <w:spacing w:before="60" w:after="60"/>
        <w:jc w:val="both"/>
        <w:rPr>
          <w:rFonts w:cs="Arial"/>
          <w:color w:val="000000"/>
          <w:sz w:val="24"/>
          <w:szCs w:val="24"/>
        </w:rPr>
      </w:pPr>
      <w:r w:rsidRPr="00467357">
        <w:rPr>
          <w:rFonts w:cs="Arial"/>
          <w:color w:val="000000"/>
          <w:sz w:val="24"/>
          <w:szCs w:val="24"/>
        </w:rPr>
        <w:t>Nařízení Komise (EU) č. 702/2014, kterým se v souladu s čl. 107 a 108 Smlouvy o fungování Evropské unie prohlašují určité kategorie podpory v odvětvích zemědělství a lesnictví a ve venkovských oblastech za slučitelné s vnitřním trhem (dále jen „nařízení Komise (EU) č. 702/2014“),</w:t>
      </w:r>
    </w:p>
    <w:p w:rsidR="009D5E43" w:rsidRPr="00467357" w:rsidRDefault="009D5E43" w:rsidP="009D5E43">
      <w:pPr>
        <w:spacing w:before="60" w:after="60"/>
        <w:jc w:val="both"/>
        <w:rPr>
          <w:rFonts w:cs="Arial"/>
          <w:color w:val="000000"/>
          <w:sz w:val="24"/>
          <w:szCs w:val="24"/>
        </w:rPr>
      </w:pPr>
      <w:r w:rsidRPr="00467357">
        <w:rPr>
          <w:rFonts w:cs="Arial"/>
          <w:color w:val="000000"/>
          <w:sz w:val="24"/>
          <w:szCs w:val="24"/>
        </w:rPr>
        <w:t>Nařízení Komise (EU) č. 651/2014, kterým se v souladu s články 107 a 108 Smlouvy prohlašují určité kategorie podpory za slučitelné s vnitřním trhem (dále jen „nařízení Komise (EU) č. 651/2014“),</w:t>
      </w:r>
    </w:p>
    <w:p w:rsidR="009D5E43" w:rsidRPr="00467357" w:rsidRDefault="009D5E43" w:rsidP="009D5E43">
      <w:pPr>
        <w:spacing w:before="60" w:after="60"/>
        <w:jc w:val="both"/>
        <w:rPr>
          <w:rFonts w:cs="Arial"/>
          <w:color w:val="000000"/>
          <w:sz w:val="24"/>
          <w:szCs w:val="24"/>
        </w:rPr>
      </w:pPr>
      <w:r w:rsidRPr="00467357">
        <w:rPr>
          <w:rFonts w:cs="Arial"/>
          <w:color w:val="000000"/>
          <w:sz w:val="24"/>
          <w:szCs w:val="24"/>
        </w:rPr>
        <w:t>Nařízení Komise (EU) č. 1407/2013, o použití článků 107 a 108 Smlouvy o fungování Evropské unie na podporu de minimis (dále jen „nařízení Komise (EU) č. 1407/2013“),</w:t>
      </w:r>
    </w:p>
    <w:p w:rsidR="009D5E43" w:rsidRPr="00467357" w:rsidRDefault="009D5E43" w:rsidP="009D5E43">
      <w:pPr>
        <w:spacing w:before="60" w:after="60"/>
        <w:jc w:val="both"/>
        <w:rPr>
          <w:rFonts w:cs="Arial"/>
          <w:color w:val="000000"/>
          <w:sz w:val="24"/>
          <w:szCs w:val="24"/>
        </w:rPr>
      </w:pPr>
      <w:r w:rsidRPr="00467357">
        <w:rPr>
          <w:rFonts w:cs="Arial"/>
          <w:color w:val="000000"/>
          <w:sz w:val="24"/>
          <w:szCs w:val="24"/>
        </w:rPr>
        <w:t>Nařízení Komise (EU) č. 1408/2013, o použití článků 107 a 108 Smlouvy o fungování Evropské unie na podporu de minimis v odvětví zemědělství (dále jen „nařízení Komise (EU) č. 1408/2013“),</w:t>
      </w:r>
    </w:p>
    <w:p w:rsidR="009D5E43" w:rsidRPr="00467357" w:rsidRDefault="009D5E43" w:rsidP="009D5E43">
      <w:pPr>
        <w:spacing w:before="60" w:after="60"/>
        <w:jc w:val="both"/>
        <w:rPr>
          <w:rFonts w:cs="Arial"/>
          <w:color w:val="000000"/>
          <w:sz w:val="24"/>
          <w:szCs w:val="24"/>
        </w:rPr>
      </w:pPr>
      <w:r w:rsidRPr="00467357">
        <w:rPr>
          <w:rFonts w:cs="Arial"/>
          <w:color w:val="000000"/>
          <w:sz w:val="24"/>
          <w:szCs w:val="24"/>
        </w:rPr>
        <w:t>Nařízení Komise (EU) č. 717/2014, o použití článků 107 a 108 Smlouvy o fungování Evropské unie na podporu de minimis v odvětví rybolovu a akvakultury (dále jen „nařízení Komise (EU) č.717/2014“),</w:t>
      </w:r>
    </w:p>
    <w:p w:rsidR="009D5E43" w:rsidRPr="00467357" w:rsidRDefault="009D5E43" w:rsidP="009D5E43">
      <w:pPr>
        <w:spacing w:before="60" w:after="60"/>
        <w:jc w:val="both"/>
        <w:rPr>
          <w:rFonts w:cs="Arial"/>
          <w:color w:val="000000"/>
          <w:sz w:val="24"/>
          <w:szCs w:val="24"/>
        </w:rPr>
      </w:pPr>
      <w:r w:rsidRPr="00467357">
        <w:rPr>
          <w:rFonts w:cs="Arial"/>
          <w:color w:val="000000"/>
          <w:sz w:val="24"/>
          <w:szCs w:val="24"/>
        </w:rPr>
        <w:t xml:space="preserve">Pokyny Evropské unie ke státní podpoře v odvětvích zemědělství a lesnictví a ve venkovských oblastech na období 2014 až 2020 (2014/C </w:t>
      </w:r>
      <w:proofErr w:type="gramStart"/>
      <w:r w:rsidRPr="00467357">
        <w:rPr>
          <w:rFonts w:cs="Arial"/>
          <w:color w:val="000000"/>
          <w:sz w:val="24"/>
          <w:szCs w:val="24"/>
        </w:rPr>
        <w:t>204/01) (dále</w:t>
      </w:r>
      <w:proofErr w:type="gramEnd"/>
      <w:r w:rsidRPr="00467357">
        <w:rPr>
          <w:rFonts w:cs="Arial"/>
          <w:color w:val="000000"/>
          <w:sz w:val="24"/>
          <w:szCs w:val="24"/>
        </w:rPr>
        <w:t xml:space="preserve"> jen „AGRI pokyny“),</w:t>
      </w:r>
    </w:p>
    <w:p w:rsidR="009D5E43" w:rsidRPr="00467357" w:rsidRDefault="009D5E43" w:rsidP="009D5E43">
      <w:pPr>
        <w:spacing w:before="60" w:after="60"/>
        <w:jc w:val="both"/>
        <w:rPr>
          <w:rFonts w:cs="Arial"/>
          <w:color w:val="000000"/>
          <w:sz w:val="24"/>
          <w:szCs w:val="24"/>
        </w:rPr>
      </w:pPr>
      <w:r w:rsidRPr="00467357">
        <w:rPr>
          <w:rFonts w:cs="Arial"/>
          <w:color w:val="000000"/>
          <w:sz w:val="24"/>
          <w:szCs w:val="24"/>
        </w:rPr>
        <w:t>Pokyny Evropské unie pro posuzování státní podpory v odvětví rybolovu a akvakultury</w:t>
      </w:r>
      <w:r w:rsidRPr="00467357" w:rsidDel="00D52E9B">
        <w:rPr>
          <w:rFonts w:cs="Arial"/>
          <w:color w:val="000000"/>
          <w:sz w:val="24"/>
          <w:szCs w:val="24"/>
        </w:rPr>
        <w:t xml:space="preserve"> </w:t>
      </w:r>
      <w:r w:rsidRPr="00467357">
        <w:rPr>
          <w:rFonts w:cs="Arial"/>
          <w:color w:val="000000"/>
          <w:sz w:val="24"/>
          <w:szCs w:val="24"/>
        </w:rPr>
        <w:t xml:space="preserve">(2015/C </w:t>
      </w:r>
      <w:proofErr w:type="gramStart"/>
      <w:r w:rsidRPr="00467357">
        <w:rPr>
          <w:rFonts w:cs="Arial"/>
          <w:color w:val="000000"/>
          <w:sz w:val="24"/>
          <w:szCs w:val="24"/>
        </w:rPr>
        <w:t>217/01) (dále</w:t>
      </w:r>
      <w:proofErr w:type="gramEnd"/>
      <w:r w:rsidRPr="00467357">
        <w:rPr>
          <w:rFonts w:cs="Arial"/>
          <w:color w:val="000000"/>
          <w:sz w:val="24"/>
          <w:szCs w:val="24"/>
        </w:rPr>
        <w:t xml:space="preserve"> jen „FISH pokyny“),</w:t>
      </w:r>
    </w:p>
    <w:p w:rsidR="009D5E43" w:rsidRPr="00467357" w:rsidRDefault="009D5E43" w:rsidP="009D5E43">
      <w:pPr>
        <w:spacing w:before="60" w:after="60"/>
        <w:jc w:val="both"/>
        <w:rPr>
          <w:rFonts w:cs="Arial"/>
          <w:color w:val="000000"/>
          <w:sz w:val="24"/>
          <w:szCs w:val="24"/>
        </w:rPr>
      </w:pPr>
      <w:r w:rsidRPr="00467357">
        <w:rPr>
          <w:rFonts w:cs="Arial"/>
          <w:color w:val="000000"/>
          <w:sz w:val="24"/>
          <w:szCs w:val="24"/>
        </w:rPr>
        <w:t>Při poskytování dotací se postupuje v souladu s Pokyny Evropské unie ke státní podpoře v odvětvích zemědělství a lesnictví a ve venkovských oblastech na období 2014 až 2020 (2014/C 204/01), bodu 724 a 725,</w:t>
      </w:r>
    </w:p>
    <w:p w:rsidR="009D5E43" w:rsidRPr="00467357" w:rsidRDefault="009D5E43" w:rsidP="009D5E43">
      <w:pPr>
        <w:spacing w:before="60"/>
        <w:jc w:val="both"/>
        <w:rPr>
          <w:rFonts w:cs="Arial"/>
          <w:color w:val="000000"/>
          <w:sz w:val="24"/>
          <w:szCs w:val="24"/>
        </w:rPr>
      </w:pPr>
      <w:r w:rsidRPr="00467357">
        <w:rPr>
          <w:rFonts w:cs="Arial"/>
          <w:color w:val="000000"/>
          <w:sz w:val="24"/>
          <w:szCs w:val="24"/>
        </w:rPr>
        <w:t>Nařízení Evropského parlamentu a Rady (EU) č. 1379/2013 ze dne 11. prosince 2013 o společné organizaci trhů s produkty rybolovu a akvakultury a o změně nařízení Rady (ES) č. 1184/2006 a (ES) č. 1224/2009 a o zrušení nařízení Rady (ES) č. 104/2000,</w:t>
      </w:r>
    </w:p>
    <w:p w:rsidR="009D5E43" w:rsidRPr="00467357" w:rsidRDefault="009D5E43" w:rsidP="009D5E43">
      <w:pPr>
        <w:spacing w:before="60"/>
        <w:jc w:val="both"/>
        <w:rPr>
          <w:rFonts w:cs="Arial"/>
          <w:color w:val="000000"/>
          <w:sz w:val="24"/>
          <w:szCs w:val="24"/>
        </w:rPr>
      </w:pPr>
      <w:r w:rsidRPr="00467357">
        <w:rPr>
          <w:rFonts w:cs="Arial"/>
          <w:color w:val="000000"/>
          <w:sz w:val="24"/>
          <w:szCs w:val="24"/>
        </w:rPr>
        <w:lastRenderedPageBreak/>
        <w:t>Nařízení Evropského parlamentu a Rady (EU) 2021/1139 ze dne 7. července 2021, kterým se zřizuje Evropský námořní, rybářský a akvakulturní fond a mění nařízení (EU) 2017/1004.</w:t>
      </w:r>
    </w:p>
    <w:p w:rsidR="009D5E43" w:rsidRPr="00467357" w:rsidRDefault="009D5E43" w:rsidP="009D5E43">
      <w:pPr>
        <w:pStyle w:val="Odstavecseseznamem"/>
        <w:numPr>
          <w:ilvl w:val="0"/>
          <w:numId w:val="1"/>
        </w:numPr>
        <w:spacing w:after="240"/>
        <w:ind w:left="1077" w:hanging="357"/>
        <w:contextualSpacing w:val="0"/>
        <w:jc w:val="center"/>
        <w:rPr>
          <w:rFonts w:ascii="Arial" w:hAnsi="Arial" w:cs="Arial"/>
          <w:color w:val="000000"/>
        </w:rPr>
      </w:pPr>
      <w:r w:rsidRPr="00467357">
        <w:rPr>
          <w:rFonts w:ascii="Arial" w:hAnsi="Arial" w:cs="Arial"/>
          <w:color w:val="000000"/>
        </w:rPr>
        <w:br w:type="page"/>
      </w:r>
      <w:r w:rsidRPr="00467357">
        <w:rPr>
          <w:rFonts w:ascii="Arial" w:hAnsi="Arial" w:cs="Arial"/>
          <w:b/>
          <w:color w:val="000000"/>
        </w:rPr>
        <w:lastRenderedPageBreak/>
        <w:t>Žádost o dotaci</w:t>
      </w:r>
    </w:p>
    <w:p w:rsidR="009D5E43" w:rsidRPr="00467357" w:rsidRDefault="009D5E43" w:rsidP="009D5E43">
      <w:pPr>
        <w:pStyle w:val="Odstavecseseznamem"/>
        <w:numPr>
          <w:ilvl w:val="0"/>
          <w:numId w:val="2"/>
        </w:numPr>
        <w:spacing w:before="120" w:after="120"/>
        <w:ind w:left="397" w:hanging="397"/>
        <w:contextualSpacing w:val="0"/>
        <w:jc w:val="both"/>
        <w:rPr>
          <w:rFonts w:ascii="Arial" w:hAnsi="Arial" w:cs="Arial"/>
          <w:strike/>
          <w:color w:val="000000"/>
        </w:rPr>
      </w:pPr>
      <w:r w:rsidRPr="00467357">
        <w:rPr>
          <w:rFonts w:ascii="Arial" w:hAnsi="Arial" w:cs="Arial"/>
          <w:color w:val="000000"/>
        </w:rPr>
        <w:t xml:space="preserve">Žádost o dotaci </w:t>
      </w:r>
      <w:r w:rsidRPr="00467357">
        <w:rPr>
          <w:rFonts w:ascii="Arial" w:hAnsi="Arial" w:cs="Arial"/>
          <w:color w:val="000000"/>
          <w:lang w:val="cs-CZ"/>
        </w:rPr>
        <w:t xml:space="preserve">včetně příloh </w:t>
      </w:r>
      <w:r w:rsidRPr="00467357">
        <w:rPr>
          <w:rFonts w:ascii="Arial" w:hAnsi="Arial" w:cs="Arial"/>
          <w:color w:val="000000"/>
        </w:rPr>
        <w:t>podává osoba (dále jen „žadatel“), která splňuje podmínky stanovené u jednotlivých programů, Státnímu zemědělskému intervenčnímu fondu (dále jen „Fond“) na jím vydaném formuláři prostřednictvím Portálu farmáře Fondu.</w:t>
      </w:r>
    </w:p>
    <w:p w:rsidR="009D5E43" w:rsidRPr="00467357" w:rsidRDefault="009D5E43" w:rsidP="009D5E43">
      <w:pPr>
        <w:pStyle w:val="Znaeka"/>
        <w:numPr>
          <w:ilvl w:val="0"/>
          <w:numId w:val="2"/>
        </w:numPr>
        <w:spacing w:before="120" w:after="120"/>
        <w:ind w:left="397" w:hanging="397"/>
        <w:rPr>
          <w:rFonts w:ascii="Arial" w:hAnsi="Arial" w:cs="Arial"/>
          <w:szCs w:val="24"/>
        </w:rPr>
      </w:pPr>
      <w:r w:rsidRPr="00467357">
        <w:rPr>
          <w:rFonts w:ascii="Arial" w:hAnsi="Arial" w:cs="Arial"/>
          <w:szCs w:val="24"/>
        </w:rPr>
        <w:t xml:space="preserve">Žadatel podá žádost o dotaci v termínu určeném pro příslušný dotační program. </w:t>
      </w:r>
      <w:r w:rsidRPr="00467357">
        <w:rPr>
          <w:rFonts w:ascii="Arial" w:hAnsi="Arial" w:cs="Arial"/>
        </w:rPr>
        <w:t>Připadne-li konec termínu na sobotu, neděli nebo svátek, je posledním dnem lhůty nejbližší následující pracovní den.</w:t>
      </w:r>
    </w:p>
    <w:p w:rsidR="009D5E43" w:rsidRPr="00467357" w:rsidRDefault="009D5E43" w:rsidP="009D5E43">
      <w:pPr>
        <w:pStyle w:val="Znaeka"/>
        <w:numPr>
          <w:ilvl w:val="0"/>
          <w:numId w:val="2"/>
        </w:numPr>
        <w:spacing w:before="120" w:after="0"/>
        <w:ind w:left="397" w:hanging="397"/>
        <w:rPr>
          <w:rFonts w:ascii="Arial" w:hAnsi="Arial" w:cs="Arial"/>
          <w:szCs w:val="24"/>
        </w:rPr>
      </w:pPr>
      <w:r w:rsidRPr="00467357">
        <w:rPr>
          <w:rFonts w:ascii="Arial" w:hAnsi="Arial" w:cs="Arial"/>
          <w:szCs w:val="24"/>
        </w:rPr>
        <w:t>Žádost o dotaci se podává</w:t>
      </w:r>
      <w:r w:rsidRPr="00467357">
        <w:rPr>
          <w:rFonts w:ascii="Arial" w:hAnsi="Arial" w:cs="Arial"/>
          <w:i/>
          <w:szCs w:val="24"/>
        </w:rPr>
        <w:t xml:space="preserve"> </w:t>
      </w:r>
      <w:r w:rsidRPr="00467357">
        <w:rPr>
          <w:rFonts w:ascii="Arial" w:hAnsi="Arial" w:cs="Arial"/>
          <w:szCs w:val="24"/>
        </w:rPr>
        <w:t>samostatně za každý dotační program/podprogram, pokud není u jednotlivých programů uvedeno jinak.</w:t>
      </w:r>
    </w:p>
    <w:p w:rsidR="009D5E43" w:rsidRPr="00467357" w:rsidRDefault="009D5E43" w:rsidP="009D5E43">
      <w:pPr>
        <w:pStyle w:val="Odstavecseseznamem"/>
        <w:numPr>
          <w:ilvl w:val="0"/>
          <w:numId w:val="2"/>
        </w:numPr>
        <w:spacing w:before="120"/>
        <w:ind w:left="397" w:hanging="397"/>
        <w:jc w:val="both"/>
        <w:rPr>
          <w:rFonts w:ascii="Arial" w:hAnsi="Arial" w:cs="Arial"/>
          <w:color w:val="000000"/>
        </w:rPr>
      </w:pPr>
      <w:r w:rsidRPr="00467357">
        <w:rPr>
          <w:rFonts w:ascii="Arial" w:hAnsi="Arial" w:cs="Arial"/>
          <w:color w:val="000000"/>
        </w:rPr>
        <w:t xml:space="preserve">U </w:t>
      </w:r>
      <w:r w:rsidRPr="00467357">
        <w:rPr>
          <w:rFonts w:ascii="Arial" w:hAnsi="Arial" w:cs="Arial"/>
          <w:color w:val="000000"/>
          <w:lang w:val="cs-CZ"/>
        </w:rPr>
        <w:t xml:space="preserve">dotačních </w:t>
      </w:r>
      <w:r w:rsidRPr="00467357">
        <w:rPr>
          <w:rFonts w:ascii="Arial" w:hAnsi="Arial" w:cs="Arial"/>
          <w:color w:val="000000"/>
        </w:rPr>
        <w:t xml:space="preserve">programů </w:t>
      </w:r>
      <w:r w:rsidRPr="00467357">
        <w:rPr>
          <w:rFonts w:ascii="Arial" w:hAnsi="Arial" w:cs="Arial"/>
          <w:color w:val="000000"/>
          <w:lang w:val="cs-CZ"/>
        </w:rPr>
        <w:t>zakládajících veřejnou podporu ve smyslu článku 107 odst.1 Smlouvy o fungování EU, u kterých je dána povinnost plnit motivační účinek (dále jen „dotační programy s motivačním účinkem“),</w:t>
      </w:r>
      <w:r w:rsidRPr="00467357">
        <w:rPr>
          <w:rFonts w:ascii="Arial" w:hAnsi="Arial" w:cs="Arial"/>
          <w:color w:val="000000"/>
        </w:rPr>
        <w:t xml:space="preserve"> se žádost o dotaci podává před zahájením činnosti nebo zahájením práce na projektu, v souladu s čl. 6 nařízení Komise (EU) č. 702/2014, čl. 6 nařízení Komise (EU) č. 651/2014 nebo bodem 3.4 kapitoly 3 AGRI pokynů nebo čl. 3.6 FISH pokynů.</w:t>
      </w:r>
    </w:p>
    <w:p w:rsidR="009D5E43" w:rsidRPr="00467357" w:rsidRDefault="009D5E43" w:rsidP="009D5E43">
      <w:pPr>
        <w:pStyle w:val="Znaeka"/>
        <w:numPr>
          <w:ilvl w:val="0"/>
          <w:numId w:val="2"/>
        </w:numPr>
        <w:spacing w:before="120" w:after="120"/>
        <w:ind w:left="397" w:hanging="397"/>
        <w:rPr>
          <w:rFonts w:ascii="Arial" w:hAnsi="Arial" w:cs="Arial"/>
          <w:szCs w:val="24"/>
        </w:rPr>
      </w:pPr>
      <w:r w:rsidRPr="00467357">
        <w:rPr>
          <w:rFonts w:ascii="Arial" w:hAnsi="Arial" w:cs="Arial"/>
          <w:szCs w:val="24"/>
        </w:rPr>
        <w:t>Není-li u příslušného dotačního programu uvedeno jinak, podávají se veškeré povinné přílohy k žádosti o dotaci prostřednictvím Portálu farmáře Fondu. Originály veškerých povinných příloh k žádosti o dotaci jsou uchovávány žadatelem k případné kontrole.</w:t>
      </w:r>
    </w:p>
    <w:p w:rsidR="009D5E43" w:rsidRPr="00467357" w:rsidRDefault="009D5E43" w:rsidP="009D5E43">
      <w:pPr>
        <w:pStyle w:val="Odstavecseseznamem"/>
        <w:numPr>
          <w:ilvl w:val="0"/>
          <w:numId w:val="1"/>
        </w:numPr>
        <w:spacing w:before="240" w:after="240"/>
        <w:ind w:left="1077" w:hanging="357"/>
        <w:contextualSpacing w:val="0"/>
        <w:jc w:val="center"/>
        <w:rPr>
          <w:rFonts w:ascii="Arial" w:hAnsi="Arial" w:cs="Arial"/>
          <w:color w:val="000000"/>
        </w:rPr>
      </w:pPr>
      <w:r w:rsidRPr="00467357">
        <w:rPr>
          <w:rFonts w:ascii="Arial" w:hAnsi="Arial" w:cs="Arial"/>
          <w:b/>
          <w:color w:val="000000"/>
        </w:rPr>
        <w:t>Podmínky poskytnutí dotace</w:t>
      </w:r>
    </w:p>
    <w:p w:rsidR="009D5E43" w:rsidRPr="00467357" w:rsidRDefault="009D5E43" w:rsidP="009D5E43">
      <w:pPr>
        <w:pStyle w:val="Znaeka"/>
        <w:numPr>
          <w:ilvl w:val="0"/>
          <w:numId w:val="11"/>
        </w:numPr>
        <w:spacing w:before="120" w:after="0"/>
        <w:ind w:left="397" w:hanging="397"/>
        <w:rPr>
          <w:rFonts w:ascii="Arial" w:hAnsi="Arial" w:cs="Arial"/>
          <w:szCs w:val="24"/>
        </w:rPr>
      </w:pPr>
      <w:r w:rsidRPr="00467357">
        <w:rPr>
          <w:rFonts w:ascii="Arial" w:hAnsi="Arial" w:cs="Arial"/>
          <w:szCs w:val="24"/>
        </w:rPr>
        <w:t>Dotaci lze poskytnout na základě podané žádosti o dotaci pouze žadateli, který splňuje obecné podmínky a podmínky pro příslušný dotační program.</w:t>
      </w:r>
    </w:p>
    <w:p w:rsidR="009D5E43" w:rsidRPr="00467357" w:rsidRDefault="009D5E43" w:rsidP="009D5E43">
      <w:pPr>
        <w:pStyle w:val="Znaeka"/>
        <w:numPr>
          <w:ilvl w:val="0"/>
          <w:numId w:val="11"/>
        </w:numPr>
        <w:spacing w:before="120" w:after="0"/>
        <w:ind w:left="397" w:hanging="397"/>
        <w:rPr>
          <w:rFonts w:ascii="Arial" w:hAnsi="Arial" w:cs="Arial"/>
          <w:strike/>
          <w:szCs w:val="24"/>
        </w:rPr>
      </w:pPr>
      <w:r w:rsidRPr="00467357">
        <w:rPr>
          <w:rFonts w:ascii="Arial" w:hAnsi="Arial" w:cs="Arial"/>
          <w:szCs w:val="24"/>
        </w:rPr>
        <w:t xml:space="preserve">Žadatelem </w:t>
      </w:r>
      <w:r w:rsidRPr="00467357">
        <w:rPr>
          <w:rFonts w:ascii="Arial" w:eastAsia="Calibri" w:hAnsi="Arial" w:cs="Arial"/>
          <w:szCs w:val="24"/>
          <w:lang w:eastAsia="en-US"/>
        </w:rPr>
        <w:t>nemůže b</w:t>
      </w:r>
      <w:r w:rsidRPr="00467357">
        <w:rPr>
          <w:rFonts w:ascii="Arial" w:hAnsi="Arial" w:cs="Arial"/>
          <w:szCs w:val="24"/>
        </w:rPr>
        <w:t>ýt subjekt, který nemá trvalý pobyt, případně sídlo na území České republiky nebo neprokáže, že oprávněně podniká na území České republiky.</w:t>
      </w:r>
    </w:p>
    <w:p w:rsidR="009D5E43" w:rsidRPr="00467357" w:rsidRDefault="009D5E43" w:rsidP="009D5E43">
      <w:pPr>
        <w:pStyle w:val="Znaeka"/>
        <w:numPr>
          <w:ilvl w:val="0"/>
          <w:numId w:val="11"/>
        </w:numPr>
        <w:spacing w:before="120" w:after="0"/>
        <w:ind w:left="397" w:hanging="397"/>
        <w:rPr>
          <w:rFonts w:ascii="Arial" w:hAnsi="Arial" w:cs="Arial"/>
          <w:szCs w:val="24"/>
        </w:rPr>
      </w:pPr>
      <w:r w:rsidRPr="00467357">
        <w:rPr>
          <w:rFonts w:ascii="Arial" w:hAnsi="Arial" w:cs="Arial"/>
          <w:szCs w:val="24"/>
        </w:rPr>
        <w:t>Žadatelem nemůže být společnost vzniklá podle § 2716 zákona č. 89/2012 Sb., občanského zákoníku, ve znění pozdějších předpisů, a organizační složka státu. Dále žadatelem nemohou být subjekty v působnosti Ministerstva obrany, Ministerstva průmyslu a obchodu, Ministerstva životního prostředí, Ministerstva vnitra, Ministerstva pro místní rozvoj, Ministerstva školství, mládeže a tělovýchovy, kromě níže uvedených: Česká zemědělská univerzita v Praze, Jihočeská univerzita v Českých Budějovicích, Mendelova univerzita v Brně, Veterinární univerzita Brno, Krajské školní hospodářství České Budějovice, Střední rybářská škola a Vyšší odborná škola vodního hospodářství a ekologie, Vodňany, veřejné výzkumné ústavy, veřejné organizace zabývající se správou veřejného majetku, střední školy, školní podniky, školní statky a školní hospodářství (popř. subjekt, do jehož organizační struktury jsou začleněny) poskytující praktickou výuku žákům ve skupině oborů – 29 Potravinářství, 41 Zemědělství a lesnictví a 43 Veterinářství, pokud není u jednotlivých programů uvedeno jinak.</w:t>
      </w:r>
    </w:p>
    <w:p w:rsidR="009D5E43" w:rsidRPr="00467357" w:rsidRDefault="009D5E43" w:rsidP="009D5E43">
      <w:pPr>
        <w:pStyle w:val="Znaeka"/>
        <w:numPr>
          <w:ilvl w:val="0"/>
          <w:numId w:val="11"/>
        </w:numPr>
        <w:spacing w:before="120" w:after="0"/>
        <w:ind w:left="397" w:hanging="397"/>
        <w:rPr>
          <w:rFonts w:ascii="Arial" w:hAnsi="Arial" w:cs="Arial"/>
          <w:szCs w:val="24"/>
        </w:rPr>
      </w:pPr>
      <w:r w:rsidRPr="00467357">
        <w:rPr>
          <w:rFonts w:ascii="Arial" w:hAnsi="Arial" w:cs="Arial"/>
          <w:szCs w:val="24"/>
        </w:rPr>
        <w:t xml:space="preserve">Žadatelem nemůže být subjekt, který obdržel v příslušném roce na účel a na předmět, pro který je požadována dotace, úvěr s podporou Podpůrného a garančního rolnického a lesnického fondu, a. s. (dále jen „PGRLF“) nebo dotaci či příspěvek z rozpočtu kapitoly MZe, dotaci z jiných rozpočtových kapitol státního rozpočtu, dotaci z rozpočtu státního fondu nebo dotaci z rozpočtu územního </w:t>
      </w:r>
      <w:r w:rsidRPr="00467357">
        <w:rPr>
          <w:rFonts w:ascii="Arial" w:hAnsi="Arial" w:cs="Arial"/>
          <w:szCs w:val="24"/>
        </w:rPr>
        <w:lastRenderedPageBreak/>
        <w:t>samosprávného celku nebo fondů EU, pokud není u jednotlivých programů uvedeno jinak.</w:t>
      </w:r>
    </w:p>
    <w:p w:rsidR="009D5E43" w:rsidRPr="00467357" w:rsidRDefault="009D5E43" w:rsidP="009D5E43">
      <w:pPr>
        <w:pStyle w:val="Znaeka"/>
        <w:numPr>
          <w:ilvl w:val="0"/>
          <w:numId w:val="11"/>
        </w:numPr>
        <w:spacing w:before="120" w:after="0"/>
        <w:ind w:left="397" w:hanging="397"/>
        <w:rPr>
          <w:rFonts w:ascii="Arial" w:hAnsi="Arial" w:cs="Arial"/>
          <w:szCs w:val="24"/>
        </w:rPr>
      </w:pPr>
      <w:r w:rsidRPr="00467357">
        <w:rPr>
          <w:rFonts w:ascii="Arial" w:hAnsi="Arial" w:cs="Arial"/>
          <w:szCs w:val="24"/>
        </w:rPr>
        <w:t>Na žadatele nesmí být od data podání Žádosti o dotaci vydáno soudem rozhodnutí o úpadku a způsobu jeho řešení podle zákona č. 182/2006 Sb., o úpadku a způsobech jeho řešení (insolvenční zákon), ve znění pozdějších předpisů.</w:t>
      </w:r>
    </w:p>
    <w:p w:rsidR="009D5E43" w:rsidRPr="00467357" w:rsidRDefault="009D5E43" w:rsidP="009D5E43">
      <w:pPr>
        <w:pStyle w:val="Znaeka"/>
        <w:numPr>
          <w:ilvl w:val="0"/>
          <w:numId w:val="11"/>
        </w:numPr>
        <w:spacing w:before="120" w:after="0"/>
        <w:ind w:left="397" w:hanging="397"/>
        <w:rPr>
          <w:rFonts w:ascii="Arial" w:hAnsi="Arial" w:cs="Arial"/>
          <w:szCs w:val="24"/>
        </w:rPr>
      </w:pPr>
      <w:r w:rsidRPr="00467357">
        <w:rPr>
          <w:rFonts w:ascii="Arial" w:hAnsi="Arial" w:cs="Arial"/>
          <w:szCs w:val="24"/>
        </w:rPr>
        <w:t xml:space="preserve">Žadatelem nemůže být subjekt, který je podnikem v obtížích ve smyslu článku 2 odst. 14 nařízení Komise (EU) č. 702/2014, resp. článku 2 odst. 18 nařízení Komise (EU) č. 651/2014, resp. bodu (35) odst. 15 AGRI pokynů. </w:t>
      </w:r>
    </w:p>
    <w:p w:rsidR="009D5E43" w:rsidRPr="00467357" w:rsidRDefault="009D5E43" w:rsidP="009D5E43">
      <w:pPr>
        <w:pStyle w:val="Znaeka"/>
        <w:numPr>
          <w:ilvl w:val="0"/>
          <w:numId w:val="11"/>
        </w:numPr>
        <w:spacing w:before="120" w:after="0"/>
        <w:ind w:left="397" w:hanging="397"/>
        <w:rPr>
          <w:rFonts w:ascii="Arial" w:eastAsia="Calibri" w:hAnsi="Arial" w:cs="Arial"/>
          <w:szCs w:val="24"/>
        </w:rPr>
      </w:pPr>
      <w:r w:rsidRPr="00467357">
        <w:rPr>
          <w:rFonts w:ascii="Arial" w:hAnsi="Arial" w:cs="Arial"/>
          <w:szCs w:val="24"/>
        </w:rPr>
        <w:t xml:space="preserve">Žadatelem nemůže být subjekt, vůči němuž je vystaven dosud nesplacený inkasní příkaz </w:t>
      </w:r>
      <w:r w:rsidRPr="00467357">
        <w:rPr>
          <w:rFonts w:ascii="Arial" w:eastAsia="Calibri" w:hAnsi="Arial"/>
          <w:bCs/>
          <w:iCs/>
          <w:szCs w:val="24"/>
          <w:lang w:eastAsia="en-US"/>
        </w:rPr>
        <w:t>k navracení podpory</w:t>
      </w:r>
      <w:r w:rsidRPr="00467357">
        <w:rPr>
          <w:rFonts w:ascii="Arial" w:eastAsia="Calibri" w:hAnsi="Arial"/>
          <w:i/>
          <w:iCs/>
          <w:sz w:val="22"/>
          <w:szCs w:val="22"/>
          <w:lang w:eastAsia="en-US"/>
        </w:rPr>
        <w:t xml:space="preserve"> </w:t>
      </w:r>
      <w:r w:rsidRPr="00467357">
        <w:rPr>
          <w:rFonts w:ascii="Arial" w:hAnsi="Arial" w:cs="Arial"/>
          <w:szCs w:val="24"/>
        </w:rPr>
        <w:t>v návaznosti na rozhodnutí Komise, jímž byla podpora prohlášena za protiprávní a neslučitelnou s vnitřním trhem.</w:t>
      </w:r>
    </w:p>
    <w:p w:rsidR="009D5E43" w:rsidRPr="00467357" w:rsidRDefault="009D5E43" w:rsidP="009D5E43">
      <w:pPr>
        <w:pStyle w:val="Znaeka"/>
        <w:numPr>
          <w:ilvl w:val="0"/>
          <w:numId w:val="11"/>
        </w:numPr>
        <w:autoSpaceDE w:val="0"/>
        <w:autoSpaceDN w:val="0"/>
        <w:adjustRightInd w:val="0"/>
        <w:spacing w:before="120" w:after="0"/>
        <w:ind w:left="397" w:hanging="397"/>
        <w:rPr>
          <w:rFonts w:ascii="Arial" w:eastAsia="Calibri" w:hAnsi="Arial" w:cs="Arial"/>
          <w:spacing w:val="-4"/>
          <w:szCs w:val="24"/>
        </w:rPr>
      </w:pPr>
      <w:r w:rsidRPr="00467357">
        <w:rPr>
          <w:rFonts w:ascii="Arial" w:hAnsi="Arial" w:cs="Arial"/>
          <w:spacing w:val="-4"/>
          <w:szCs w:val="24"/>
        </w:rPr>
        <w:t xml:space="preserve">U dotačních programů, u kterých se podpora poskytuje podle nařízení Komise (EU) č. 702/2014 nebo nařízení Komise (EU) č. 651/2014 nebo AGRI pokynů nebo FISH pokynů, je žadatel povinen se zařadit do kategorie mikropodniků, malých, středních nebo velkých podniků, mimo dotačního </w:t>
      </w:r>
      <w:proofErr w:type="gramStart"/>
      <w:r w:rsidRPr="00467357">
        <w:rPr>
          <w:rFonts w:ascii="Arial" w:hAnsi="Arial" w:cs="Arial"/>
          <w:spacing w:val="-4"/>
          <w:szCs w:val="24"/>
        </w:rPr>
        <w:t>programu 9.F.e.</w:t>
      </w:r>
      <w:proofErr w:type="gramEnd"/>
      <w:r w:rsidRPr="00467357">
        <w:rPr>
          <w:rFonts w:ascii="Arial" w:hAnsi="Arial" w:cs="Arial"/>
          <w:spacing w:val="-4"/>
          <w:szCs w:val="24"/>
        </w:rPr>
        <w:t xml:space="preserve"> Regionální přenos </w:t>
      </w:r>
      <w:proofErr w:type="gramStart"/>
      <w:r w:rsidRPr="00467357">
        <w:rPr>
          <w:rFonts w:ascii="Arial" w:hAnsi="Arial" w:cs="Arial"/>
          <w:spacing w:val="-4"/>
          <w:szCs w:val="24"/>
        </w:rPr>
        <w:t>informací a 9.F.i.</w:t>
      </w:r>
      <w:proofErr w:type="gramEnd"/>
      <w:r w:rsidRPr="00467357">
        <w:rPr>
          <w:rFonts w:ascii="Arial" w:hAnsi="Arial" w:cs="Arial"/>
          <w:spacing w:val="-4"/>
          <w:szCs w:val="24"/>
        </w:rPr>
        <w:t xml:space="preserve"> Odborné konzultace (podpora se vyplácí subjektu zajišťujícímu předávání znalostí a informační akce/poskytovateli poradenských služeb, nikoliv </w:t>
      </w:r>
      <w:proofErr w:type="spellStart"/>
      <w:r w:rsidRPr="00467357">
        <w:rPr>
          <w:rFonts w:ascii="Arial" w:hAnsi="Arial" w:cs="Arial"/>
          <w:spacing w:val="-4"/>
          <w:szCs w:val="24"/>
        </w:rPr>
        <w:t>mikropodniku</w:t>
      </w:r>
      <w:proofErr w:type="spellEnd"/>
      <w:r w:rsidRPr="00467357">
        <w:rPr>
          <w:rFonts w:ascii="Arial" w:hAnsi="Arial" w:cs="Arial"/>
          <w:spacing w:val="-4"/>
          <w:szCs w:val="24"/>
        </w:rPr>
        <w:t xml:space="preserve">, malému nebo střednímu podniku působícímu v odvětví zemědělství). Při posuzování velikosti podniku žadatel postupuje podle definice uvedené v příloze I nařízení Komise (EU) č. 702/2014 a také podle Uživatelské příručky k definici malých a středních podniků vydané Evropskou komisí </w:t>
      </w:r>
      <w:r w:rsidRPr="005C7D6D">
        <w:rPr>
          <w:rFonts w:ascii="Arial" w:hAnsi="Arial" w:cs="Arial"/>
          <w:color w:val="auto"/>
          <w:spacing w:val="-4"/>
          <w:szCs w:val="24"/>
        </w:rPr>
        <w:t>(</w:t>
      </w:r>
      <w:hyperlink r:id="rId5" w:history="1">
        <w:r w:rsidRPr="005C7D6D">
          <w:rPr>
            <w:rStyle w:val="Hypertextovodkaz"/>
            <w:rFonts w:ascii="Arial" w:hAnsi="Arial" w:cs="Arial"/>
            <w:color w:val="auto"/>
            <w:szCs w:val="24"/>
          </w:rPr>
          <w:t>https://data.europa.eu/doi/10.2873/4104</w:t>
        </w:r>
      </w:hyperlink>
      <w:r w:rsidRPr="005C7D6D">
        <w:rPr>
          <w:rFonts w:ascii="Arial" w:hAnsi="Arial" w:cs="Arial"/>
          <w:color w:val="auto"/>
          <w:spacing w:val="-4"/>
          <w:szCs w:val="24"/>
        </w:rPr>
        <w:t>).</w:t>
      </w:r>
      <w:r w:rsidRPr="00467357">
        <w:rPr>
          <w:rFonts w:ascii="Arial" w:hAnsi="Arial" w:cs="Arial"/>
          <w:szCs w:val="24"/>
        </w:rPr>
        <w:t xml:space="preserve"> </w:t>
      </w:r>
      <w:r w:rsidRPr="00467357">
        <w:rPr>
          <w:rFonts w:ascii="Arial" w:eastAsia="Calibri" w:hAnsi="Arial" w:cs="Arial"/>
          <w:szCs w:val="24"/>
        </w:rPr>
        <w:t>Velké podniky dále musí v žádosti o</w:t>
      </w:r>
      <w:r>
        <w:rPr>
          <w:rFonts w:ascii="Arial" w:eastAsia="Calibri" w:hAnsi="Arial" w:cs="Arial"/>
          <w:szCs w:val="24"/>
        </w:rPr>
        <w:t> </w:t>
      </w:r>
      <w:r w:rsidRPr="00467357">
        <w:rPr>
          <w:rFonts w:ascii="Arial" w:eastAsia="Calibri" w:hAnsi="Arial" w:cs="Arial"/>
          <w:szCs w:val="24"/>
        </w:rPr>
        <w:t xml:space="preserve">dotaci popsat situaci, jež by nastala </w:t>
      </w:r>
      <w:r w:rsidRPr="00467357">
        <w:rPr>
          <w:rFonts w:ascii="Arial" w:eastAsia="Calibri" w:hAnsi="Arial" w:cs="Arial"/>
          <w:spacing w:val="-4"/>
          <w:szCs w:val="24"/>
        </w:rPr>
        <w:t>v případě, že by podpora nebyla poskytnuta, tedy hypotetický srovnávací scénář nebo uvést alternativní projekt nebo činnost a</w:t>
      </w:r>
      <w:r>
        <w:rPr>
          <w:rFonts w:ascii="Arial" w:eastAsia="Calibri" w:hAnsi="Arial" w:cs="Arial"/>
          <w:spacing w:val="-4"/>
          <w:szCs w:val="24"/>
        </w:rPr>
        <w:t> </w:t>
      </w:r>
      <w:r w:rsidRPr="00467357">
        <w:rPr>
          <w:rFonts w:ascii="Arial" w:eastAsia="Calibri" w:hAnsi="Arial" w:cs="Arial"/>
          <w:spacing w:val="-4"/>
          <w:szCs w:val="24"/>
        </w:rPr>
        <w:t xml:space="preserve">předložit </w:t>
      </w:r>
      <w:r w:rsidRPr="001F2E88">
        <w:rPr>
          <w:rFonts w:ascii="Arial" w:eastAsia="Calibri" w:hAnsi="Arial" w:cs="Arial"/>
          <w:spacing w:val="-4"/>
          <w:szCs w:val="24"/>
        </w:rPr>
        <w:t>písemné</w:t>
      </w:r>
      <w:r>
        <w:rPr>
          <w:rFonts w:ascii="Arial" w:eastAsia="Calibri" w:hAnsi="Arial" w:cs="Arial"/>
          <w:spacing w:val="-4"/>
          <w:szCs w:val="24"/>
        </w:rPr>
        <w:t xml:space="preserve"> </w:t>
      </w:r>
      <w:r w:rsidRPr="00467357">
        <w:rPr>
          <w:rFonts w:ascii="Arial" w:eastAsia="Calibri" w:hAnsi="Arial" w:cs="Arial"/>
          <w:spacing w:val="-4"/>
          <w:szCs w:val="24"/>
        </w:rPr>
        <w:t>doklady, z nichž vychází hypotetické srovnání uvedené v žádosti o dotaci.</w:t>
      </w:r>
    </w:p>
    <w:p w:rsidR="009D5E43" w:rsidRPr="00467357" w:rsidRDefault="009D5E43" w:rsidP="009D5E43">
      <w:pPr>
        <w:pStyle w:val="Znaeka"/>
        <w:numPr>
          <w:ilvl w:val="0"/>
          <w:numId w:val="11"/>
        </w:numPr>
        <w:spacing w:before="120" w:after="0"/>
        <w:ind w:left="397" w:hanging="397"/>
        <w:rPr>
          <w:rFonts w:ascii="Arial" w:hAnsi="Arial" w:cs="Arial"/>
          <w:szCs w:val="24"/>
        </w:rPr>
      </w:pPr>
      <w:r w:rsidRPr="00467357">
        <w:rPr>
          <w:rFonts w:ascii="Arial" w:hAnsi="Arial" w:cs="Arial"/>
          <w:szCs w:val="24"/>
        </w:rPr>
        <w:t>Dotace se stanovuje na základě sazby (dále „dotace sazbová“), nebo dle skutečně vynaložených uznatelných nákladů (dále „dotace nákladů“), a to v rozsahu uvedeném v jednotlivých programech.</w:t>
      </w:r>
    </w:p>
    <w:p w:rsidR="009D5E43" w:rsidRPr="00467357" w:rsidRDefault="009D5E43" w:rsidP="009D5E43">
      <w:pPr>
        <w:pStyle w:val="Znaeka"/>
        <w:numPr>
          <w:ilvl w:val="0"/>
          <w:numId w:val="11"/>
        </w:numPr>
        <w:spacing w:before="120" w:after="0"/>
        <w:ind w:left="397" w:hanging="397"/>
        <w:rPr>
          <w:rFonts w:ascii="Arial" w:hAnsi="Arial" w:cs="Arial"/>
          <w:szCs w:val="24"/>
        </w:rPr>
      </w:pPr>
      <w:r w:rsidRPr="00467357">
        <w:rPr>
          <w:rFonts w:ascii="Arial" w:hAnsi="Arial" w:cs="Arial"/>
          <w:szCs w:val="24"/>
        </w:rPr>
        <w:t>Výše dotace je stanovena na základě žadatelem předloženého formuláře s doklady prokazujícími nárok na dotaci, pokud není u jednotlivých programů uvedeno jinak.</w:t>
      </w:r>
    </w:p>
    <w:p w:rsidR="009D5E43" w:rsidRPr="00467357" w:rsidRDefault="009D5E43" w:rsidP="009D5E43">
      <w:pPr>
        <w:pStyle w:val="Znaeka"/>
        <w:numPr>
          <w:ilvl w:val="0"/>
          <w:numId w:val="11"/>
        </w:numPr>
        <w:spacing w:before="120" w:after="0"/>
        <w:ind w:left="397" w:hanging="397"/>
        <w:rPr>
          <w:rFonts w:ascii="Arial" w:hAnsi="Arial" w:cs="Arial"/>
          <w:szCs w:val="24"/>
        </w:rPr>
      </w:pPr>
      <w:r w:rsidRPr="00467357">
        <w:rPr>
          <w:rFonts w:ascii="Arial" w:hAnsi="Arial" w:cs="Arial"/>
          <w:szCs w:val="24"/>
        </w:rPr>
        <w:t>U dotačních programů nebo podprogramů, případně předmětů dotace, u kterých je uvedeno „výše dotace do“, bude všem žadatelům poskytnuta stejná výše sazby nebo stejná výše procent.</w:t>
      </w:r>
    </w:p>
    <w:p w:rsidR="009D5E43" w:rsidRPr="00467357" w:rsidRDefault="009D5E43" w:rsidP="009D5E43">
      <w:pPr>
        <w:pStyle w:val="Znaeka"/>
        <w:numPr>
          <w:ilvl w:val="0"/>
          <w:numId w:val="11"/>
        </w:numPr>
        <w:spacing w:before="120" w:after="0"/>
        <w:ind w:left="397" w:hanging="397"/>
        <w:rPr>
          <w:rFonts w:ascii="Arial" w:hAnsi="Arial" w:cs="Arial"/>
          <w:szCs w:val="24"/>
        </w:rPr>
      </w:pPr>
      <w:r w:rsidRPr="00467357">
        <w:rPr>
          <w:rFonts w:ascii="Arial" w:eastAsia="Calibri" w:hAnsi="Arial" w:cs="Arial"/>
          <w:szCs w:val="24"/>
        </w:rPr>
        <w:t xml:space="preserve">Plátce DPH může uplatnit nárok na odpočet daně z prokázaných nákladů použitých v rámci své ekonomické činnosti podle zákona č. 235/2004 Sb., o dani z přidané hodnoty, ve znění pozdějších předpisů, zejména podle ustanovení § 72 až § 79 uvedeného zákona. </w:t>
      </w:r>
      <w:r w:rsidRPr="00467357">
        <w:rPr>
          <w:rFonts w:ascii="Arial" w:hAnsi="Arial" w:cs="Arial"/>
          <w:szCs w:val="24"/>
        </w:rPr>
        <w:t xml:space="preserve">Při uskutečňování ekonomické činnosti se prokázané náklady hradí v úrovni včetně daně z přidané hodnoty (dále jen „DPH“) pro neplátce DPH a v úrovni bez DPH u plátců. U nákladů použitých mimo ekonomickou činnost se prokazatelné náklady hradí v úrovni včetně DPH, pokud není u konkrétního dotačního programu uvedeno jinak. </w:t>
      </w:r>
    </w:p>
    <w:p w:rsidR="009D5E43" w:rsidRPr="00467357" w:rsidRDefault="009D5E43" w:rsidP="009D5E43">
      <w:pPr>
        <w:pStyle w:val="Znaeka"/>
        <w:numPr>
          <w:ilvl w:val="0"/>
          <w:numId w:val="11"/>
        </w:numPr>
        <w:spacing w:before="120" w:after="0"/>
        <w:ind w:left="397" w:hanging="397"/>
        <w:rPr>
          <w:rFonts w:ascii="Arial" w:hAnsi="Arial" w:cs="Arial"/>
          <w:szCs w:val="24"/>
        </w:rPr>
      </w:pPr>
      <w:r w:rsidRPr="00467357">
        <w:rPr>
          <w:rFonts w:ascii="Arial" w:eastAsia="Calibri" w:hAnsi="Arial" w:cs="Arial"/>
          <w:szCs w:val="24"/>
        </w:rPr>
        <w:t xml:space="preserve">Uznatelné náklady musí být uhrazeny do konce termínu příjmu dokladů prokazujících nárok na dotaci, </w:t>
      </w:r>
      <w:r w:rsidRPr="00467357">
        <w:rPr>
          <w:rFonts w:ascii="Arial" w:hAnsi="Arial" w:cs="Arial"/>
          <w:szCs w:val="24"/>
        </w:rPr>
        <w:t>pokud není u konkrétního dotačního programu uvedeno jinak.</w:t>
      </w:r>
    </w:p>
    <w:p w:rsidR="009D5E43" w:rsidRPr="00467357" w:rsidRDefault="009D5E43" w:rsidP="009D5E43">
      <w:pPr>
        <w:numPr>
          <w:ilvl w:val="0"/>
          <w:numId w:val="11"/>
        </w:numPr>
        <w:spacing w:before="120"/>
        <w:ind w:left="397" w:hanging="397"/>
        <w:jc w:val="both"/>
        <w:rPr>
          <w:rFonts w:cs="Arial"/>
          <w:color w:val="000000"/>
          <w:sz w:val="24"/>
          <w:szCs w:val="24"/>
        </w:rPr>
      </w:pPr>
      <w:r w:rsidRPr="00467357">
        <w:rPr>
          <w:rFonts w:cs="Arial"/>
          <w:color w:val="000000"/>
          <w:sz w:val="24"/>
          <w:szCs w:val="24"/>
        </w:rPr>
        <w:lastRenderedPageBreak/>
        <w:t>Pokud je platba provedena v jiné měně než CZK a kurz nebude uveden na dokladu prokazujícím uhrazení skutečně vynaložených uznatelných nákladů, žadatel použije kurz České národní banky (kurz devizového trhu) platný v den odečtu částky z bankovního účtu žadatele.</w:t>
      </w:r>
    </w:p>
    <w:p w:rsidR="009D5E43" w:rsidRPr="00467357" w:rsidRDefault="009D5E43" w:rsidP="009D5E43">
      <w:pPr>
        <w:pStyle w:val="Znaeka"/>
        <w:numPr>
          <w:ilvl w:val="0"/>
          <w:numId w:val="11"/>
        </w:numPr>
        <w:spacing w:before="120" w:after="0"/>
        <w:ind w:left="397" w:hanging="397"/>
        <w:rPr>
          <w:rFonts w:ascii="Arial" w:hAnsi="Arial" w:cs="Arial"/>
          <w:szCs w:val="24"/>
        </w:rPr>
      </w:pPr>
      <w:r w:rsidRPr="00467357">
        <w:rPr>
          <w:rFonts w:ascii="Arial" w:eastAsia="Calibri" w:hAnsi="Arial" w:cs="Arial"/>
          <w:szCs w:val="24"/>
        </w:rPr>
        <w:t>Pokud žadatel u dotačních programů s motivačním účinkem nepodá žádost o dotaci podle bodu 1 písm. d) před zahájením činnosti nebo zahájením práce na projektu, Fond žádost o dotaci zamítne.</w:t>
      </w:r>
    </w:p>
    <w:p w:rsidR="009D5E43" w:rsidRPr="00467357" w:rsidRDefault="009D5E43" w:rsidP="009D5E43">
      <w:pPr>
        <w:pStyle w:val="Znaeka"/>
        <w:numPr>
          <w:ilvl w:val="0"/>
          <w:numId w:val="11"/>
        </w:numPr>
        <w:spacing w:before="120" w:after="120"/>
        <w:ind w:left="397" w:hanging="397"/>
        <w:rPr>
          <w:rFonts w:ascii="Arial" w:hAnsi="Arial" w:cs="Arial"/>
          <w:szCs w:val="24"/>
        </w:rPr>
      </w:pPr>
      <w:r w:rsidRPr="00467357">
        <w:rPr>
          <w:rFonts w:ascii="Arial" w:hAnsi="Arial" w:cs="Arial"/>
          <w:szCs w:val="24"/>
        </w:rPr>
        <w:t>V případě pozdního podání Žádosti o dotaci bude žadateli krácena dotace následujícím způsobem:</w:t>
      </w:r>
    </w:p>
    <w:p w:rsidR="009D5E43" w:rsidRPr="00467357" w:rsidRDefault="009D5E43" w:rsidP="009D5E43">
      <w:pPr>
        <w:pStyle w:val="Znaeka"/>
        <w:numPr>
          <w:ilvl w:val="0"/>
          <w:numId w:val="12"/>
        </w:numPr>
        <w:spacing w:before="120" w:after="120"/>
        <w:ind w:left="924" w:hanging="357"/>
        <w:rPr>
          <w:rFonts w:ascii="Arial" w:hAnsi="Arial" w:cs="Arial"/>
          <w:szCs w:val="24"/>
        </w:rPr>
      </w:pPr>
      <w:r w:rsidRPr="00467357">
        <w:rPr>
          <w:rFonts w:ascii="Arial" w:hAnsi="Arial" w:cs="Arial"/>
          <w:szCs w:val="24"/>
        </w:rPr>
        <w:t>v případě prodlení do 15 kalendářních dní včetně o 3</w:t>
      </w:r>
      <w:r>
        <w:rPr>
          <w:rFonts w:ascii="Arial" w:hAnsi="Arial" w:cs="Arial"/>
          <w:szCs w:val="24"/>
        </w:rPr>
        <w:t xml:space="preserve"> </w:t>
      </w:r>
      <w:r w:rsidRPr="00467357">
        <w:rPr>
          <w:rFonts w:ascii="Arial" w:hAnsi="Arial" w:cs="Arial"/>
          <w:szCs w:val="24"/>
        </w:rPr>
        <w:t xml:space="preserve">%, </w:t>
      </w:r>
    </w:p>
    <w:p w:rsidR="009D5E43" w:rsidRPr="00467357" w:rsidRDefault="009D5E43" w:rsidP="009D5E43">
      <w:pPr>
        <w:pStyle w:val="Znaeka"/>
        <w:numPr>
          <w:ilvl w:val="0"/>
          <w:numId w:val="12"/>
        </w:numPr>
        <w:spacing w:before="120" w:after="120"/>
        <w:ind w:left="924" w:hanging="357"/>
        <w:rPr>
          <w:rFonts w:ascii="Arial" w:hAnsi="Arial" w:cs="Arial"/>
          <w:szCs w:val="24"/>
        </w:rPr>
      </w:pPr>
      <w:r w:rsidRPr="00467357">
        <w:rPr>
          <w:rFonts w:ascii="Arial" w:hAnsi="Arial" w:cs="Arial"/>
          <w:szCs w:val="24"/>
        </w:rPr>
        <w:t>v případě prodlení od 16 do 30 kalendářních dní včetně o 5 %.</w:t>
      </w:r>
    </w:p>
    <w:p w:rsidR="009D5E43" w:rsidRPr="00467357" w:rsidRDefault="009D5E43" w:rsidP="009D5E43">
      <w:pPr>
        <w:pStyle w:val="Znaeka"/>
        <w:spacing w:before="120" w:after="120"/>
        <w:ind w:left="397"/>
        <w:rPr>
          <w:rFonts w:ascii="Arial" w:hAnsi="Arial" w:cs="Arial"/>
          <w:szCs w:val="24"/>
        </w:rPr>
      </w:pPr>
      <w:r w:rsidRPr="00467357">
        <w:rPr>
          <w:rFonts w:ascii="Arial" w:hAnsi="Arial" w:cs="Arial"/>
          <w:szCs w:val="24"/>
        </w:rPr>
        <w:t xml:space="preserve">V případě delšího prodlení bude Žádost o dotaci zamítnuta. </w:t>
      </w:r>
    </w:p>
    <w:p w:rsidR="009D5E43" w:rsidRPr="00467357" w:rsidRDefault="009D5E43" w:rsidP="009D5E43">
      <w:pPr>
        <w:pStyle w:val="Znaeka"/>
        <w:spacing w:before="120" w:after="120"/>
        <w:ind w:left="397"/>
        <w:rPr>
          <w:rFonts w:ascii="Arial" w:hAnsi="Arial" w:cs="Arial"/>
          <w:szCs w:val="24"/>
        </w:rPr>
      </w:pPr>
      <w:r w:rsidRPr="00467357">
        <w:rPr>
          <w:rFonts w:ascii="Arial" w:hAnsi="Arial" w:cs="Arial"/>
          <w:szCs w:val="24"/>
        </w:rPr>
        <w:t>U dotačních programů s motivačním účinkem musí být i v případě pozdního podání Žádosti o dotaci splněna podmínka zahájení činnosti nebo práce na projektu až po podání Žádosti o dotaci. Jinak bude Žádost o dotaci zamítnuta.</w:t>
      </w:r>
    </w:p>
    <w:p w:rsidR="009D5E43" w:rsidRPr="00467357" w:rsidRDefault="009D5E43" w:rsidP="009D5E43">
      <w:pPr>
        <w:pStyle w:val="Znaeka"/>
        <w:spacing w:before="120" w:after="120"/>
        <w:ind w:left="397"/>
        <w:rPr>
          <w:rFonts w:ascii="Arial" w:hAnsi="Arial" w:cs="Arial"/>
          <w:szCs w:val="24"/>
        </w:rPr>
      </w:pPr>
      <w:r w:rsidRPr="00467357">
        <w:rPr>
          <w:rFonts w:ascii="Arial" w:hAnsi="Arial" w:cs="Arial"/>
          <w:szCs w:val="24"/>
        </w:rPr>
        <w:t>Těmito ustanoveními není dotčen bod 2., písm. m) Obecné části Zásad.</w:t>
      </w:r>
    </w:p>
    <w:p w:rsidR="009D5E43" w:rsidRPr="00467357" w:rsidRDefault="009D5E43" w:rsidP="009D5E43">
      <w:pPr>
        <w:pStyle w:val="Znaeka"/>
        <w:numPr>
          <w:ilvl w:val="0"/>
          <w:numId w:val="11"/>
        </w:numPr>
        <w:spacing w:before="120" w:after="120"/>
        <w:ind w:left="397" w:hanging="397"/>
        <w:rPr>
          <w:rFonts w:ascii="Arial" w:hAnsi="Arial" w:cs="Arial"/>
          <w:szCs w:val="24"/>
        </w:rPr>
      </w:pPr>
      <w:r w:rsidRPr="00467357">
        <w:rPr>
          <w:rFonts w:ascii="Arial" w:hAnsi="Arial" w:cs="Arial"/>
          <w:szCs w:val="24"/>
        </w:rPr>
        <w:t xml:space="preserve">Zadávání veřejných zakázek je upraveno zákonem č. 134/2016 Sb., o zadávání veřejných zakázek, ve znění pozdějších předpisů (dále jen „ZZVZ“). </w:t>
      </w:r>
    </w:p>
    <w:p w:rsidR="009D5E43" w:rsidRDefault="009D5E43" w:rsidP="009D5E43">
      <w:pPr>
        <w:pStyle w:val="Znaeka"/>
        <w:spacing w:before="120" w:after="120"/>
        <w:ind w:left="397"/>
        <w:rPr>
          <w:rFonts w:ascii="Arial" w:hAnsi="Arial" w:cs="Arial"/>
          <w:szCs w:val="24"/>
        </w:rPr>
      </w:pPr>
      <w:r w:rsidRPr="00467357">
        <w:rPr>
          <w:rFonts w:ascii="Arial" w:hAnsi="Arial" w:cs="Arial"/>
          <w:szCs w:val="24"/>
        </w:rPr>
        <w:t>Žadatel, který je zadavatelem podle § 4 ZZVZ, postupuje podle tohoto zákona, tj. zodpovídá za řádné provedení zadávacího řízení a jeho průběh náležitě dokladuje podle tohoto zákona.</w:t>
      </w:r>
    </w:p>
    <w:p w:rsidR="009D5E43" w:rsidRPr="00537B44" w:rsidRDefault="009D5E43" w:rsidP="009D5E43">
      <w:pPr>
        <w:ind w:left="397"/>
        <w:jc w:val="both"/>
        <w:rPr>
          <w:rFonts w:cs="Arial"/>
          <w:sz w:val="24"/>
          <w:szCs w:val="24"/>
        </w:rPr>
      </w:pPr>
      <w:r w:rsidRPr="00537B44">
        <w:rPr>
          <w:rFonts w:cs="Arial"/>
          <w:sz w:val="24"/>
          <w:szCs w:val="24"/>
        </w:rPr>
        <w:t>V případě porušení podmínek vyplývajících ze ZZVZ, nebudou žadateli uznány veškeré náklady vztahující se na daňové doklady k příslušné veřejné zakázce.</w:t>
      </w:r>
    </w:p>
    <w:p w:rsidR="009D5E43" w:rsidRPr="00467357" w:rsidRDefault="009D5E43" w:rsidP="009D5E43">
      <w:pPr>
        <w:pStyle w:val="Znaeka"/>
        <w:numPr>
          <w:ilvl w:val="0"/>
          <w:numId w:val="11"/>
        </w:numPr>
        <w:spacing w:before="120" w:after="0"/>
        <w:ind w:left="397" w:hanging="397"/>
        <w:rPr>
          <w:rFonts w:ascii="Arial" w:hAnsi="Arial" w:cs="Arial"/>
          <w:szCs w:val="24"/>
        </w:rPr>
      </w:pPr>
      <w:r w:rsidRPr="00467357">
        <w:rPr>
          <w:rFonts w:ascii="Arial" w:eastAsia="Calibri" w:hAnsi="Arial" w:cs="Arial"/>
          <w:szCs w:val="24"/>
        </w:rPr>
        <w:t>Žadatel odpovídá za to, že všechny jím uvedené údaje na žádosti o dotaci jsou úplné a pravdivé a že účel, na který mu bude poskytnuta dotace, splní v rozsahu a do termínu, který je určen Zásadami.</w:t>
      </w:r>
    </w:p>
    <w:p w:rsidR="009D5E43" w:rsidRPr="00467357" w:rsidRDefault="009D5E43" w:rsidP="009D5E43">
      <w:pPr>
        <w:pStyle w:val="Znaeka"/>
        <w:numPr>
          <w:ilvl w:val="0"/>
          <w:numId w:val="11"/>
        </w:numPr>
        <w:spacing w:before="120" w:after="120"/>
        <w:ind w:left="397" w:hanging="397"/>
        <w:rPr>
          <w:rFonts w:ascii="Arial" w:hAnsi="Arial" w:cs="Arial"/>
          <w:szCs w:val="24"/>
        </w:rPr>
      </w:pPr>
      <w:r w:rsidRPr="00467357">
        <w:rPr>
          <w:rFonts w:ascii="Arial" w:hAnsi="Arial" w:cs="Arial"/>
          <w:szCs w:val="24"/>
        </w:rPr>
        <w:t xml:space="preserve">Dotaci nelze poskytnout v případě, pokud bylo ze strany žadatele či s jeho vědomím třetí osobou podáno nepravdivé prohlášení nebo nepravdivý důkaz a/nebo v případě, že žadatel vlastní nedbalostí neposkytl potřebné informace a/nebo v případě, že podmínky stanovené pro získání dotace žadatel vytvoří tak, aby získal výhodu, která není v souladu s cíli a podmínkami Zásad. </w:t>
      </w:r>
    </w:p>
    <w:p w:rsidR="009D5E43" w:rsidRPr="00467357" w:rsidRDefault="009D5E43" w:rsidP="009D5E43">
      <w:pPr>
        <w:pStyle w:val="Znaeka"/>
        <w:numPr>
          <w:ilvl w:val="0"/>
          <w:numId w:val="11"/>
        </w:numPr>
        <w:spacing w:before="120" w:after="120"/>
        <w:ind w:left="397" w:hanging="397"/>
        <w:rPr>
          <w:rFonts w:ascii="Arial" w:hAnsi="Arial" w:cs="Arial"/>
          <w:szCs w:val="24"/>
        </w:rPr>
      </w:pPr>
      <w:r w:rsidRPr="00467357">
        <w:rPr>
          <w:rFonts w:ascii="Arial" w:hAnsi="Arial" w:cs="Arial"/>
          <w:szCs w:val="24"/>
        </w:rPr>
        <w:t xml:space="preserve">Opatření související s ruskou agresí na Ukrajině: </w:t>
      </w:r>
    </w:p>
    <w:p w:rsidR="009D5E43" w:rsidRPr="00467357" w:rsidRDefault="009D5E43" w:rsidP="009D5E43">
      <w:pPr>
        <w:numPr>
          <w:ilvl w:val="0"/>
          <w:numId w:val="14"/>
        </w:numPr>
        <w:spacing w:after="120"/>
        <w:jc w:val="both"/>
        <w:rPr>
          <w:rFonts w:cs="Arial"/>
          <w:color w:val="000000"/>
          <w:sz w:val="24"/>
          <w:szCs w:val="24"/>
          <w:lang w:eastAsia="cs-CZ"/>
        </w:rPr>
      </w:pPr>
      <w:r w:rsidRPr="00467357">
        <w:rPr>
          <w:rFonts w:cs="Arial"/>
          <w:color w:val="000000"/>
          <w:sz w:val="24"/>
          <w:szCs w:val="24"/>
          <w:lang w:eastAsia="cs-CZ"/>
        </w:rPr>
        <w:t>v souladu s čl. 5l odst. 1 nařízení Rady (EU) 2022/576 ze dne 8. dubna 2022, kterým se mění nařízení (EU) č. 833/2014 o omezujících opatřeních vzhledem k činnostem Ruska destabilizujícím situaci na Ukrajině, se zakazuje poskytovat přímou či nepřímou podporu, včetně financování a finanční pomoci nebo jakékoli jiné výhody plynoucí z programu Unie, Euratomu nebo vnitrostátního programu členského státu a zakázek ve smyslu nařízení (EU, Euratom) 2018/1046, jakékoli právnické osobě, subjektu nebo orgánu usazenému v Rusku, které jsou z více než 50 % ve veřejném vlastnictví či pod veřejnou kontrolou,</w:t>
      </w:r>
    </w:p>
    <w:p w:rsidR="009D5E43" w:rsidRPr="00467357" w:rsidRDefault="009D5E43" w:rsidP="009D5E43">
      <w:pPr>
        <w:numPr>
          <w:ilvl w:val="0"/>
          <w:numId w:val="14"/>
        </w:numPr>
        <w:spacing w:after="120"/>
        <w:jc w:val="both"/>
        <w:rPr>
          <w:rFonts w:cs="Arial"/>
          <w:color w:val="000000"/>
          <w:sz w:val="24"/>
          <w:szCs w:val="24"/>
        </w:rPr>
      </w:pPr>
      <w:r w:rsidRPr="00467357">
        <w:rPr>
          <w:rFonts w:cs="Arial"/>
          <w:color w:val="000000"/>
          <w:sz w:val="24"/>
          <w:szCs w:val="24"/>
        </w:rPr>
        <w:t xml:space="preserve">každý zadavatel veřejné zakázky musí ověřit, že vybraný dodavatel pro plnění veřejné zakázky není osobou, na niž by se vztahovaly (i) sankční režimy zavedené Evropskou unií na základě nařízení Rady (EU) č. 269/2014 ze dne </w:t>
      </w:r>
      <w:r w:rsidRPr="00467357">
        <w:rPr>
          <w:rFonts w:cs="Arial"/>
          <w:color w:val="000000"/>
          <w:sz w:val="24"/>
          <w:szCs w:val="24"/>
        </w:rPr>
        <w:lastRenderedPageBreak/>
        <w:t>17. března 2014 o omezujících opatřeních vzhledem k činnostem narušujícím nebo ohrožujícím územní celistvost, svrchovanost a nezávislost Ukrajiny a nařízení Rady (EU) č. 208/2014 ze dne 5. března 2014 o omezujících opatřeních vůči některým osobám, subjektům a orgánům vzhledem k situaci na Ukrajině, stejně jako na základě nařízení Rady (ES) č. 765/2006 ze dne 18. května 2006 o omezujících opatřeních vůči prezidentu Lukašenkovi a některým představitelům Běloruska,  a dále (</w:t>
      </w:r>
      <w:proofErr w:type="spellStart"/>
      <w:r w:rsidRPr="00467357">
        <w:rPr>
          <w:rFonts w:cs="Arial"/>
          <w:color w:val="000000"/>
          <w:sz w:val="24"/>
          <w:szCs w:val="24"/>
        </w:rPr>
        <w:t>ii</w:t>
      </w:r>
      <w:proofErr w:type="spellEnd"/>
      <w:r w:rsidRPr="00467357">
        <w:rPr>
          <w:rFonts w:cs="Arial"/>
          <w:color w:val="000000"/>
          <w:sz w:val="24"/>
          <w:szCs w:val="24"/>
        </w:rPr>
        <w:t>) české právní předpisy, zejména zákon č. 69/2006 Sb., o provádění mezinárodních sankcí, v platném znění, navazující na nařízení EU uvedená v tomto odstavci, přičemž se tento zákaz vztahuje i na všechny poddodavatele vybraného dodavatele,</w:t>
      </w:r>
    </w:p>
    <w:p w:rsidR="009D5E43" w:rsidRPr="00467357" w:rsidRDefault="009D5E43" w:rsidP="009D5E43">
      <w:pPr>
        <w:numPr>
          <w:ilvl w:val="0"/>
          <w:numId w:val="14"/>
        </w:numPr>
        <w:spacing w:after="120"/>
        <w:ind w:left="714" w:hanging="357"/>
        <w:jc w:val="both"/>
        <w:rPr>
          <w:rFonts w:cs="Arial"/>
          <w:color w:val="000000"/>
          <w:sz w:val="24"/>
          <w:szCs w:val="24"/>
        </w:rPr>
      </w:pPr>
      <w:r w:rsidRPr="00467357">
        <w:rPr>
          <w:rFonts w:cs="Arial"/>
          <w:color w:val="000000"/>
          <w:sz w:val="24"/>
          <w:szCs w:val="24"/>
        </w:rPr>
        <w:t xml:space="preserve">v případě nadlimitních veřejných zakázek musí zadavatel veřejné zakázky, mimo podmínek uvedených v písm. b), také ověřit, že vybraný dodavatel pro plnění veřejné zakázky, na základě čl. 5k odst. 1 nařízení Rady (EU) 2022/576 ze dne 8. dubna 2022, kterým se mění nařízení (EU) č. 833/2014 o omezujících opatřeních vzhledem k činnostem Ruska destabilizujícím situaci na Ukrajině, není: </w:t>
      </w:r>
    </w:p>
    <w:p w:rsidR="009D5E43" w:rsidRPr="00467357" w:rsidRDefault="009D5E43" w:rsidP="009D5E43">
      <w:pPr>
        <w:numPr>
          <w:ilvl w:val="1"/>
          <w:numId w:val="13"/>
        </w:numPr>
        <w:jc w:val="both"/>
        <w:rPr>
          <w:rFonts w:cs="Arial"/>
          <w:color w:val="000000"/>
          <w:sz w:val="24"/>
          <w:szCs w:val="24"/>
          <w:lang w:eastAsia="cs-CZ"/>
        </w:rPr>
      </w:pPr>
      <w:r w:rsidRPr="00467357">
        <w:rPr>
          <w:rFonts w:cs="Arial"/>
          <w:color w:val="000000"/>
          <w:sz w:val="24"/>
          <w:szCs w:val="24"/>
          <w:lang w:eastAsia="cs-CZ"/>
        </w:rPr>
        <w:t>ruským státním příslušníkem, fyzickou či právnickou osobou nebo subjektem či orgánem se sídlem v Rusku;</w:t>
      </w:r>
    </w:p>
    <w:p w:rsidR="009D5E43" w:rsidRPr="00467357" w:rsidRDefault="009D5E43" w:rsidP="009D5E43">
      <w:pPr>
        <w:numPr>
          <w:ilvl w:val="1"/>
          <w:numId w:val="13"/>
        </w:numPr>
        <w:jc w:val="both"/>
        <w:rPr>
          <w:rFonts w:cs="Arial"/>
          <w:color w:val="000000"/>
          <w:sz w:val="24"/>
          <w:szCs w:val="24"/>
          <w:lang w:eastAsia="cs-CZ"/>
        </w:rPr>
      </w:pPr>
      <w:r w:rsidRPr="00467357">
        <w:rPr>
          <w:rFonts w:cs="Arial"/>
          <w:color w:val="000000"/>
          <w:sz w:val="24"/>
          <w:szCs w:val="24"/>
          <w:lang w:eastAsia="cs-CZ"/>
        </w:rPr>
        <w:t>právnickou osobou, subjektem nebo orgánem, které jsou z více než 50 % přímo či nepřímo vlastněny některým ze subjektů uvedených v písmeni a. tohoto odstavce, přičemž podíly těchto subjektů se sčítají nebo</w:t>
      </w:r>
    </w:p>
    <w:p w:rsidR="009D5E43" w:rsidRPr="00467357" w:rsidRDefault="009D5E43" w:rsidP="009D5E43">
      <w:pPr>
        <w:numPr>
          <w:ilvl w:val="1"/>
          <w:numId w:val="13"/>
        </w:numPr>
        <w:spacing w:after="120"/>
        <w:ind w:left="1208" w:hanging="357"/>
        <w:jc w:val="both"/>
        <w:rPr>
          <w:rFonts w:cs="Arial"/>
          <w:color w:val="000000"/>
          <w:sz w:val="24"/>
          <w:szCs w:val="24"/>
          <w:lang w:eastAsia="cs-CZ"/>
        </w:rPr>
      </w:pPr>
      <w:r w:rsidRPr="00467357">
        <w:rPr>
          <w:rFonts w:cs="Arial"/>
          <w:color w:val="000000"/>
          <w:sz w:val="24"/>
          <w:szCs w:val="24"/>
          <w:lang w:eastAsia="cs-CZ"/>
        </w:rPr>
        <w:t xml:space="preserve">fyzickou nebo právnickou osobou, subjektem nebo orgánem, které jednají jménem nebo na pokyn některého ze subjektů uvedených v písmeni a. nebo b. </w:t>
      </w:r>
      <w:proofErr w:type="gramStart"/>
      <w:r w:rsidRPr="00467357">
        <w:rPr>
          <w:rFonts w:cs="Arial"/>
          <w:color w:val="000000"/>
          <w:sz w:val="24"/>
          <w:szCs w:val="24"/>
          <w:lang w:eastAsia="cs-CZ"/>
        </w:rPr>
        <w:t>tohoto</w:t>
      </w:r>
      <w:proofErr w:type="gramEnd"/>
      <w:r w:rsidRPr="00467357">
        <w:rPr>
          <w:rFonts w:cs="Arial"/>
          <w:color w:val="000000"/>
          <w:sz w:val="24"/>
          <w:szCs w:val="24"/>
          <w:lang w:eastAsia="cs-CZ"/>
        </w:rPr>
        <w:t xml:space="preserve"> odstavce,</w:t>
      </w:r>
    </w:p>
    <w:p w:rsidR="009D5E43" w:rsidRPr="00467357" w:rsidRDefault="009D5E43" w:rsidP="009D5E43">
      <w:pPr>
        <w:ind w:left="432"/>
        <w:jc w:val="both"/>
        <w:rPr>
          <w:rFonts w:cs="Arial"/>
          <w:color w:val="000000"/>
          <w:sz w:val="24"/>
          <w:szCs w:val="24"/>
        </w:rPr>
      </w:pPr>
      <w:r w:rsidRPr="00467357">
        <w:rPr>
          <w:rFonts w:cs="Arial"/>
          <w:color w:val="000000"/>
          <w:sz w:val="24"/>
          <w:szCs w:val="24"/>
        </w:rPr>
        <w:t>přičemž se tento zákaz vztahuje i na všechny poddodavatele vybraného dodavatele, pokud jejich plnění představuje více než 10 % hodnoty zakázky.</w:t>
      </w:r>
    </w:p>
    <w:p w:rsidR="009D5E43" w:rsidRPr="00467357" w:rsidRDefault="009D5E43" w:rsidP="009D5E43">
      <w:pPr>
        <w:pStyle w:val="Odstavecseseznamem"/>
        <w:numPr>
          <w:ilvl w:val="0"/>
          <w:numId w:val="1"/>
        </w:numPr>
        <w:spacing w:before="240" w:after="240"/>
        <w:ind w:left="1077" w:hanging="357"/>
        <w:contextualSpacing w:val="0"/>
        <w:jc w:val="center"/>
        <w:rPr>
          <w:rFonts w:ascii="Arial" w:hAnsi="Arial" w:cs="Arial"/>
          <w:color w:val="000000"/>
        </w:rPr>
      </w:pPr>
      <w:r w:rsidRPr="00467357">
        <w:rPr>
          <w:rFonts w:ascii="Arial" w:hAnsi="Arial" w:cs="Arial"/>
          <w:b/>
          <w:color w:val="000000"/>
        </w:rPr>
        <w:t>Změny žádosti o dotaci, změna žadatele</w:t>
      </w:r>
    </w:p>
    <w:p w:rsidR="009D5E43" w:rsidRPr="00467357" w:rsidRDefault="009D5E43" w:rsidP="009D5E43">
      <w:pPr>
        <w:pStyle w:val="Znaeka"/>
        <w:numPr>
          <w:ilvl w:val="0"/>
          <w:numId w:val="3"/>
        </w:numPr>
        <w:spacing w:before="120" w:after="0"/>
        <w:ind w:left="397" w:hanging="397"/>
        <w:rPr>
          <w:rFonts w:ascii="Arial" w:hAnsi="Arial" w:cs="Arial"/>
          <w:szCs w:val="24"/>
        </w:rPr>
      </w:pPr>
      <w:r w:rsidRPr="00467357">
        <w:rPr>
          <w:rFonts w:ascii="Arial" w:hAnsi="Arial" w:cs="Arial"/>
          <w:szCs w:val="24"/>
        </w:rPr>
        <w:t>Žadatel může od podání žádosti o dotaci až do vydání rozhodnutí svou žádost o dotaci změnit či upravit, přičemž výše dotace je stanovena na základě žadatelem předloženého formuláře s doklady prokazujícími nárok na dotaci, pokud není u jednotlivých programů uvedeno jinak. Po oznámení či zahájení kontroly na místě není změna nebo doplnění žádosti o dotaci (předmětu dotace) přípustná.</w:t>
      </w:r>
    </w:p>
    <w:p w:rsidR="009D5E43" w:rsidRPr="00467357" w:rsidRDefault="009D5E43" w:rsidP="009D5E43">
      <w:pPr>
        <w:pStyle w:val="Znaeka"/>
        <w:numPr>
          <w:ilvl w:val="0"/>
          <w:numId w:val="3"/>
        </w:numPr>
        <w:spacing w:before="120" w:after="0"/>
        <w:ind w:left="397" w:hanging="397"/>
        <w:rPr>
          <w:rFonts w:ascii="Arial" w:hAnsi="Arial" w:cs="Arial"/>
          <w:szCs w:val="24"/>
        </w:rPr>
      </w:pPr>
      <w:r w:rsidRPr="00467357">
        <w:rPr>
          <w:rFonts w:ascii="Arial" w:hAnsi="Arial" w:cs="Arial"/>
          <w:szCs w:val="24"/>
        </w:rPr>
        <w:t>Jestliže žadatel zemřel nebo zanikl a právní nástupce žadatele pokračuje v zahájeném řízení o žádosti o dotaci, oznámí právní nástupce žadatele tuto skutečnost Fondu.</w:t>
      </w:r>
    </w:p>
    <w:p w:rsidR="009D5E43" w:rsidRPr="00467357" w:rsidRDefault="009D5E43" w:rsidP="009D5E43">
      <w:pPr>
        <w:pStyle w:val="Znaeka"/>
        <w:numPr>
          <w:ilvl w:val="0"/>
          <w:numId w:val="3"/>
        </w:numPr>
        <w:spacing w:before="120" w:after="0"/>
        <w:ind w:left="397" w:hanging="397"/>
        <w:rPr>
          <w:rFonts w:ascii="Arial" w:hAnsi="Arial" w:cs="Arial"/>
          <w:szCs w:val="24"/>
        </w:rPr>
      </w:pPr>
      <w:r w:rsidRPr="00467357">
        <w:rPr>
          <w:rFonts w:ascii="Arial" w:hAnsi="Arial" w:cs="Arial"/>
          <w:szCs w:val="24"/>
        </w:rPr>
        <w:t>Jestliže dojde k převodu obchodního závodu v době zahájeného řízení o žádosti o dotaci nebo v době trvání plnění podmínek dotace, oznámí nabyvatel tuto skutečnost Fondu.</w:t>
      </w:r>
    </w:p>
    <w:p w:rsidR="009D5E43" w:rsidRPr="00467357" w:rsidRDefault="009D5E43" w:rsidP="009D5E43">
      <w:pPr>
        <w:pStyle w:val="Znaeka"/>
        <w:numPr>
          <w:ilvl w:val="0"/>
          <w:numId w:val="3"/>
        </w:numPr>
        <w:spacing w:before="120" w:after="0"/>
        <w:ind w:left="397" w:hanging="397"/>
        <w:rPr>
          <w:rFonts w:ascii="Arial" w:hAnsi="Arial" w:cs="Arial"/>
          <w:szCs w:val="24"/>
        </w:rPr>
      </w:pPr>
      <w:r w:rsidRPr="00467357">
        <w:rPr>
          <w:rFonts w:ascii="Arial" w:hAnsi="Arial" w:cs="Arial"/>
          <w:szCs w:val="24"/>
        </w:rPr>
        <w:t>Změnu žadatele a zásah vyšší moci a mimořádných okolností v případě dotačních programů, u kterých je to ve znění jejich podmínek uvedeno, žadatel oznamuje Fondu prostřednictvím Portálu farmáře na formuláři k tomu určeném (Ohlášení vyšší moci, Ohlášení změny žadatele) a doloží k tomu příslušné doklady.</w:t>
      </w:r>
    </w:p>
    <w:p w:rsidR="009D5E43" w:rsidRPr="00467357" w:rsidRDefault="009D5E43" w:rsidP="009D5E43">
      <w:pPr>
        <w:pStyle w:val="Odstavecseseznamem"/>
        <w:numPr>
          <w:ilvl w:val="0"/>
          <w:numId w:val="1"/>
        </w:numPr>
        <w:spacing w:before="240" w:after="240"/>
        <w:ind w:left="1077" w:hanging="357"/>
        <w:contextualSpacing w:val="0"/>
        <w:jc w:val="center"/>
        <w:rPr>
          <w:rFonts w:ascii="Arial" w:hAnsi="Arial" w:cs="Arial"/>
          <w:color w:val="000000"/>
        </w:rPr>
      </w:pPr>
      <w:r w:rsidRPr="00467357">
        <w:rPr>
          <w:rFonts w:ascii="Arial" w:hAnsi="Arial" w:cs="Arial"/>
          <w:b/>
          <w:color w:val="000000"/>
        </w:rPr>
        <w:t>Doložení dokladů prokazujících nárok na dotaci</w:t>
      </w:r>
    </w:p>
    <w:p w:rsidR="009D5E43" w:rsidRPr="00467357" w:rsidRDefault="009D5E43" w:rsidP="009D5E43">
      <w:pPr>
        <w:pStyle w:val="Znaeka"/>
        <w:numPr>
          <w:ilvl w:val="0"/>
          <w:numId w:val="4"/>
        </w:numPr>
        <w:spacing w:before="120" w:after="120"/>
        <w:ind w:left="397" w:hanging="397"/>
        <w:rPr>
          <w:rFonts w:ascii="Arial" w:hAnsi="Arial" w:cs="Arial"/>
          <w:szCs w:val="24"/>
        </w:rPr>
      </w:pPr>
      <w:r w:rsidRPr="00467357">
        <w:rPr>
          <w:rFonts w:ascii="Arial" w:hAnsi="Arial" w:cs="Arial"/>
          <w:szCs w:val="24"/>
        </w:rPr>
        <w:lastRenderedPageBreak/>
        <w:t xml:space="preserve">Doklady stanovené pro jednotlivé programy, které prokazují nárok na dotaci, podá žadatel Fondu prostřednictvím formuláře přes Portál farmáře Fondu ve lhůtě stanovené pro jednotlivé programy. </w:t>
      </w:r>
      <w:r w:rsidRPr="00467357">
        <w:rPr>
          <w:rFonts w:ascii="Arial" w:hAnsi="Arial" w:cs="Arial"/>
        </w:rPr>
        <w:t>Připadne-li konec termínu na sobotu, neděli nebo svátek, je posledním dnem lhůty nejbližší následující pracovní den.</w:t>
      </w:r>
    </w:p>
    <w:p w:rsidR="009D5E43" w:rsidRPr="00467357" w:rsidRDefault="009D5E43" w:rsidP="009D5E43">
      <w:pPr>
        <w:pStyle w:val="Znaeka"/>
        <w:numPr>
          <w:ilvl w:val="0"/>
          <w:numId w:val="4"/>
        </w:numPr>
        <w:spacing w:before="120" w:after="0"/>
        <w:ind w:left="397" w:hanging="397"/>
        <w:rPr>
          <w:rFonts w:ascii="Arial" w:hAnsi="Arial" w:cs="Arial"/>
          <w:szCs w:val="24"/>
        </w:rPr>
      </w:pPr>
      <w:r w:rsidRPr="00467357">
        <w:rPr>
          <w:rFonts w:ascii="Arial" w:hAnsi="Arial" w:cs="Arial"/>
          <w:szCs w:val="24"/>
        </w:rPr>
        <w:t>U dotačních programů s motivačním účinkem, u kterých žadatel podal nebo podá Fondu žádost o dotaci v roce 2022, doručí žadatel Fondu doklad prokazující nárok na dotaci dle těchto Zásad.</w:t>
      </w:r>
    </w:p>
    <w:p w:rsidR="009D5E43" w:rsidRPr="00467357" w:rsidRDefault="009D5E43" w:rsidP="009D5E43">
      <w:pPr>
        <w:pStyle w:val="Znaeka"/>
        <w:numPr>
          <w:ilvl w:val="0"/>
          <w:numId w:val="4"/>
        </w:numPr>
        <w:spacing w:before="120" w:after="120"/>
        <w:ind w:left="397" w:hanging="397"/>
        <w:rPr>
          <w:rFonts w:ascii="Arial" w:hAnsi="Arial" w:cs="Arial"/>
          <w:szCs w:val="24"/>
        </w:rPr>
      </w:pPr>
      <w:r w:rsidRPr="00467357">
        <w:rPr>
          <w:rFonts w:ascii="Arial" w:hAnsi="Arial" w:cs="Arial"/>
          <w:szCs w:val="24"/>
        </w:rPr>
        <w:t>U dotačních programů s motivačním účinkem, u kterých žadatel podal nebo podá Fondu žádost o dotaci podle Zásad pro rok 2022, podá žadatel doklady prokazující nárok na dotaci dle těchto Zásad.</w:t>
      </w:r>
    </w:p>
    <w:p w:rsidR="009D5E43" w:rsidRPr="00467357" w:rsidRDefault="009D5E43" w:rsidP="009D5E43">
      <w:pPr>
        <w:pStyle w:val="Znaeka"/>
        <w:numPr>
          <w:ilvl w:val="0"/>
          <w:numId w:val="4"/>
        </w:numPr>
        <w:spacing w:before="120" w:after="120"/>
        <w:ind w:left="397" w:hanging="397"/>
        <w:rPr>
          <w:rFonts w:ascii="Arial" w:hAnsi="Arial" w:cs="Arial"/>
        </w:rPr>
      </w:pPr>
      <w:r w:rsidRPr="00467357">
        <w:rPr>
          <w:rFonts w:ascii="Arial" w:hAnsi="Arial" w:cs="Arial"/>
        </w:rPr>
        <w:t>Není-li u příslušného dotačního programu uvedeno jinak, podávají se veškeré povinné přílohy k dokladům prokazujícím nárok na dotaci prostřednictvím Portálu farmáře Fondu. Originály veškerých povinných příloh k dokladům prokazujícím nárok na dotaci uchovává žadatel.</w:t>
      </w:r>
    </w:p>
    <w:p w:rsidR="009D5E43" w:rsidRPr="00E65C70" w:rsidRDefault="009D5E43" w:rsidP="009D5E43">
      <w:pPr>
        <w:pStyle w:val="Znaeka"/>
        <w:numPr>
          <w:ilvl w:val="0"/>
          <w:numId w:val="9"/>
        </w:numPr>
        <w:spacing w:before="120" w:after="120"/>
        <w:ind w:left="397" w:hanging="397"/>
        <w:rPr>
          <w:rFonts w:ascii="Arial" w:hAnsi="Arial" w:cs="Arial"/>
          <w:color w:val="auto"/>
          <w:szCs w:val="24"/>
        </w:rPr>
      </w:pPr>
      <w:r w:rsidRPr="00E65C70">
        <w:rPr>
          <w:rFonts w:ascii="Arial" w:hAnsi="Arial" w:cs="Arial"/>
          <w:color w:val="auto"/>
          <w:szCs w:val="24"/>
        </w:rPr>
        <w:t>K dokladům prokazujícím nárok na dotaci doručeným Fondu po stanovené lhůtě se nepřihlíží.</w:t>
      </w:r>
    </w:p>
    <w:p w:rsidR="009D5E43" w:rsidRPr="00467357" w:rsidRDefault="009D5E43" w:rsidP="009D5E43">
      <w:pPr>
        <w:pStyle w:val="Znaeka"/>
        <w:numPr>
          <w:ilvl w:val="0"/>
          <w:numId w:val="9"/>
        </w:numPr>
        <w:spacing w:after="120"/>
        <w:rPr>
          <w:rFonts w:ascii="Arial" w:hAnsi="Arial" w:cs="Arial"/>
          <w:szCs w:val="24"/>
        </w:rPr>
      </w:pPr>
      <w:r w:rsidRPr="00467357">
        <w:rPr>
          <w:rFonts w:ascii="Arial" w:hAnsi="Arial" w:cs="Arial"/>
          <w:szCs w:val="24"/>
        </w:rPr>
        <w:t>U dotačních programů, u kterých je žadatel zadavatelem podle ZZVZ, podá žadatel prostřednictvím Portálu farmáře příslušné doklady podle tohoto zákona.</w:t>
      </w:r>
    </w:p>
    <w:p w:rsidR="009D5E43" w:rsidRPr="00467357" w:rsidRDefault="009D5E43" w:rsidP="009D5E43">
      <w:pPr>
        <w:pStyle w:val="Odstavecseseznamem"/>
        <w:numPr>
          <w:ilvl w:val="0"/>
          <w:numId w:val="1"/>
        </w:numPr>
        <w:spacing w:before="240" w:after="240"/>
        <w:ind w:left="1077" w:hanging="357"/>
        <w:contextualSpacing w:val="0"/>
        <w:jc w:val="center"/>
        <w:rPr>
          <w:rFonts w:ascii="Arial" w:hAnsi="Arial" w:cs="Arial"/>
          <w:color w:val="000000"/>
        </w:rPr>
      </w:pPr>
      <w:r w:rsidRPr="00467357">
        <w:rPr>
          <w:rFonts w:ascii="Arial" w:hAnsi="Arial" w:cs="Arial"/>
          <w:b/>
          <w:color w:val="000000"/>
        </w:rPr>
        <w:t>Kontrola dodržování Zásad</w:t>
      </w:r>
    </w:p>
    <w:p w:rsidR="009D5E43" w:rsidRPr="00467357" w:rsidRDefault="009D5E43" w:rsidP="009D5E43">
      <w:pPr>
        <w:pStyle w:val="Znaeka"/>
        <w:numPr>
          <w:ilvl w:val="0"/>
          <w:numId w:val="5"/>
        </w:numPr>
        <w:spacing w:before="120" w:after="120"/>
        <w:ind w:left="397" w:hanging="397"/>
        <w:rPr>
          <w:rFonts w:ascii="Arial" w:hAnsi="Arial" w:cs="Arial"/>
          <w:szCs w:val="24"/>
        </w:rPr>
      </w:pPr>
      <w:r w:rsidRPr="00467357">
        <w:rPr>
          <w:rFonts w:ascii="Arial" w:hAnsi="Arial" w:cs="Arial"/>
          <w:szCs w:val="24"/>
        </w:rPr>
        <w:t>Před poskytnutím dotace provádí Fond administrativní kontrolu žádosti o dotaci, dokladů prokazujících nárok na dotaci a u vybraných žadatelů kontrolu na místě k ověření plnění podmínek dotace. Po poskytnutí dotace provádí Fond nebo specializovaný kontrolní subjekt</w:t>
      </w:r>
      <w:r w:rsidRPr="00467357">
        <w:rPr>
          <w:szCs w:val="24"/>
        </w:rPr>
        <w:t xml:space="preserve"> </w:t>
      </w:r>
      <w:r w:rsidRPr="00467357">
        <w:rPr>
          <w:rFonts w:ascii="Arial" w:hAnsi="Arial" w:cs="Arial"/>
          <w:szCs w:val="24"/>
        </w:rPr>
        <w:t>u vybraných žadatelů kontrolu na místě z důvodu ověření naplnění účelu, pro který byla dotace poskytnuta.</w:t>
      </w:r>
    </w:p>
    <w:p w:rsidR="009D5E43" w:rsidRPr="00467357" w:rsidRDefault="009D5E43" w:rsidP="009D5E43">
      <w:pPr>
        <w:pStyle w:val="Znaeka"/>
        <w:numPr>
          <w:ilvl w:val="0"/>
          <w:numId w:val="5"/>
        </w:numPr>
        <w:spacing w:before="120" w:after="120"/>
        <w:ind w:left="397" w:hanging="397"/>
        <w:rPr>
          <w:rFonts w:ascii="Arial" w:hAnsi="Arial" w:cs="Arial"/>
          <w:szCs w:val="24"/>
        </w:rPr>
      </w:pPr>
      <w:r w:rsidRPr="00467357">
        <w:rPr>
          <w:rFonts w:ascii="Arial" w:hAnsi="Arial" w:cs="Arial"/>
          <w:szCs w:val="24"/>
        </w:rPr>
        <w:t>Pokud žadatel neumožní kontrolu některé z podmínek pro poskytnutí dotace, považuje se tato podmínka za nesplněnou.</w:t>
      </w:r>
    </w:p>
    <w:p w:rsidR="009D5E43" w:rsidRPr="00467357" w:rsidRDefault="009D5E43" w:rsidP="009D5E43">
      <w:pPr>
        <w:pStyle w:val="Znaeka"/>
        <w:numPr>
          <w:ilvl w:val="0"/>
          <w:numId w:val="5"/>
        </w:numPr>
        <w:spacing w:before="120" w:after="120"/>
        <w:ind w:left="397" w:hanging="397"/>
        <w:rPr>
          <w:rFonts w:ascii="Arial" w:hAnsi="Arial" w:cs="Arial"/>
          <w:szCs w:val="24"/>
        </w:rPr>
      </w:pPr>
      <w:r w:rsidRPr="00467357">
        <w:rPr>
          <w:rFonts w:ascii="Arial" w:hAnsi="Arial" w:cs="Arial"/>
          <w:szCs w:val="24"/>
        </w:rPr>
        <w:t xml:space="preserve">Pokud žadatel nebo jeho zástupce zabrání provedení kontroly na místě před vydáním rozhodnutí, Fond </w:t>
      </w:r>
      <w:bookmarkStart w:id="3" w:name="__DdeLink__29637_657628021"/>
      <w:bookmarkEnd w:id="3"/>
      <w:r w:rsidRPr="00467357">
        <w:rPr>
          <w:rFonts w:ascii="Arial" w:hAnsi="Arial" w:cs="Arial"/>
          <w:szCs w:val="24"/>
        </w:rPr>
        <w:t>žádost o dotaci zamítne.</w:t>
      </w:r>
    </w:p>
    <w:p w:rsidR="009D5E43" w:rsidRPr="00467357" w:rsidRDefault="009D5E43" w:rsidP="009D5E43">
      <w:pPr>
        <w:pStyle w:val="Znaeka"/>
        <w:numPr>
          <w:ilvl w:val="0"/>
          <w:numId w:val="5"/>
        </w:numPr>
        <w:spacing w:before="120" w:after="0"/>
        <w:ind w:left="397" w:hanging="397"/>
        <w:rPr>
          <w:rFonts w:ascii="Arial" w:hAnsi="Arial" w:cs="Arial"/>
          <w:szCs w:val="24"/>
        </w:rPr>
      </w:pPr>
      <w:r w:rsidRPr="00467357">
        <w:rPr>
          <w:rFonts w:ascii="Arial" w:hAnsi="Arial" w:cs="Arial"/>
          <w:szCs w:val="24"/>
        </w:rPr>
        <w:t>Pokud žadatel nebo jeho zástupce zabrání provedení kontroly na místě po vydání rozhodnutí a vyplacení dotace, Fond zahájí řízení o vrácení již poskytnuté dotace.</w:t>
      </w:r>
    </w:p>
    <w:p w:rsidR="009D5E43" w:rsidRPr="00467357" w:rsidRDefault="009D5E43" w:rsidP="009D5E43">
      <w:pPr>
        <w:pStyle w:val="Odstavecseseznamem"/>
        <w:numPr>
          <w:ilvl w:val="0"/>
          <w:numId w:val="1"/>
        </w:numPr>
        <w:spacing w:before="240" w:after="240"/>
        <w:ind w:left="1077" w:hanging="357"/>
        <w:contextualSpacing w:val="0"/>
        <w:jc w:val="center"/>
        <w:rPr>
          <w:rFonts w:ascii="Arial" w:hAnsi="Arial" w:cs="Arial"/>
          <w:color w:val="000000"/>
        </w:rPr>
      </w:pPr>
      <w:r w:rsidRPr="00467357">
        <w:rPr>
          <w:rFonts w:ascii="Arial" w:hAnsi="Arial" w:cs="Arial"/>
          <w:color w:val="000000"/>
        </w:rPr>
        <w:br w:type="page"/>
      </w:r>
      <w:r w:rsidRPr="00467357">
        <w:rPr>
          <w:rFonts w:ascii="Arial" w:hAnsi="Arial" w:cs="Arial"/>
          <w:b/>
          <w:color w:val="000000"/>
        </w:rPr>
        <w:lastRenderedPageBreak/>
        <w:t>Rozhodnutí o poskytnutí dotace</w:t>
      </w:r>
    </w:p>
    <w:p w:rsidR="009D5E43" w:rsidRPr="00467357" w:rsidRDefault="009D5E43" w:rsidP="009D5E43">
      <w:pPr>
        <w:pStyle w:val="Znaeka"/>
        <w:numPr>
          <w:ilvl w:val="0"/>
          <w:numId w:val="6"/>
        </w:numPr>
        <w:spacing w:before="120" w:after="120"/>
        <w:ind w:left="397" w:hanging="397"/>
        <w:rPr>
          <w:rFonts w:ascii="Arial" w:hAnsi="Arial" w:cs="Arial"/>
          <w:szCs w:val="24"/>
        </w:rPr>
      </w:pPr>
      <w:r w:rsidRPr="00467357">
        <w:rPr>
          <w:rFonts w:ascii="Arial" w:hAnsi="Arial" w:cs="Arial"/>
          <w:szCs w:val="24"/>
        </w:rPr>
        <w:t>Při poskytování dotací postupuje Fond podle zákona o zemědělství, zákona o Státním zemědělském intervenčním fondu, správního řádu, Zásad a příslušných právních předpisů EU.</w:t>
      </w:r>
    </w:p>
    <w:p w:rsidR="009D5E43" w:rsidRPr="00467357" w:rsidRDefault="009D5E43" w:rsidP="009D5E43">
      <w:pPr>
        <w:pStyle w:val="Znaeka"/>
        <w:numPr>
          <w:ilvl w:val="0"/>
          <w:numId w:val="6"/>
        </w:numPr>
        <w:spacing w:before="120" w:after="120"/>
        <w:ind w:left="397" w:hanging="397"/>
        <w:rPr>
          <w:rFonts w:ascii="Arial" w:hAnsi="Arial" w:cs="Arial"/>
          <w:szCs w:val="24"/>
        </w:rPr>
      </w:pPr>
      <w:r w:rsidRPr="00467357">
        <w:rPr>
          <w:rFonts w:ascii="Arial" w:hAnsi="Arial" w:cs="Arial"/>
          <w:szCs w:val="24"/>
        </w:rPr>
        <w:t>Na dotaci není právní nárok.</w:t>
      </w:r>
    </w:p>
    <w:p w:rsidR="009D5E43" w:rsidRPr="00467357" w:rsidRDefault="009D5E43" w:rsidP="009D5E43">
      <w:pPr>
        <w:pStyle w:val="Znaeka"/>
        <w:numPr>
          <w:ilvl w:val="0"/>
          <w:numId w:val="6"/>
        </w:numPr>
        <w:spacing w:before="120" w:after="120"/>
        <w:ind w:left="397" w:hanging="397"/>
        <w:rPr>
          <w:rFonts w:ascii="Arial" w:hAnsi="Arial" w:cs="Arial"/>
          <w:szCs w:val="24"/>
        </w:rPr>
      </w:pPr>
      <w:r w:rsidRPr="00467357">
        <w:rPr>
          <w:rFonts w:ascii="Arial" w:hAnsi="Arial" w:cs="Arial"/>
          <w:szCs w:val="24"/>
        </w:rPr>
        <w:t>Fond řízení o dotaci zastaví v případě:</w:t>
      </w:r>
    </w:p>
    <w:p w:rsidR="009D5E43" w:rsidRPr="00467357" w:rsidRDefault="009D5E43" w:rsidP="009D5E43">
      <w:pPr>
        <w:pStyle w:val="Znaeka"/>
        <w:numPr>
          <w:ilvl w:val="1"/>
          <w:numId w:val="7"/>
        </w:numPr>
        <w:spacing w:after="0"/>
        <w:ind w:left="714" w:hanging="357"/>
        <w:rPr>
          <w:rFonts w:ascii="Arial" w:hAnsi="Arial" w:cs="Arial"/>
          <w:szCs w:val="24"/>
        </w:rPr>
      </w:pPr>
      <w:r w:rsidRPr="00467357">
        <w:rPr>
          <w:rFonts w:ascii="Arial" w:hAnsi="Arial" w:cs="Arial"/>
          <w:szCs w:val="24"/>
        </w:rPr>
        <w:t>že nebudou pro příslušný rok na dotační program vyčleněny finanční prostředky ze státního rozpočtu České republiky;</w:t>
      </w:r>
    </w:p>
    <w:p w:rsidR="009D5E43" w:rsidRPr="00467357" w:rsidRDefault="009D5E43" w:rsidP="009D5E43">
      <w:pPr>
        <w:pStyle w:val="Znaeka"/>
        <w:numPr>
          <w:ilvl w:val="1"/>
          <w:numId w:val="7"/>
        </w:numPr>
        <w:spacing w:after="0"/>
        <w:ind w:left="714" w:hanging="357"/>
        <w:rPr>
          <w:rFonts w:ascii="Arial" w:hAnsi="Arial" w:cs="Arial"/>
          <w:szCs w:val="24"/>
        </w:rPr>
      </w:pPr>
      <w:r w:rsidRPr="00467357">
        <w:rPr>
          <w:rFonts w:ascii="Arial" w:hAnsi="Arial" w:cs="Arial"/>
          <w:szCs w:val="24"/>
        </w:rPr>
        <w:t>zemře-li žadatel nebo zanikl-li subjekt před vydáním rozhodnutí</w:t>
      </w:r>
      <w:r>
        <w:rPr>
          <w:rFonts w:ascii="Arial" w:hAnsi="Arial" w:cs="Arial"/>
          <w:szCs w:val="24"/>
        </w:rPr>
        <w:t>,</w:t>
      </w:r>
      <w:r w:rsidRPr="00467357">
        <w:rPr>
          <w:rFonts w:ascii="Arial" w:hAnsi="Arial" w:cs="Arial"/>
          <w:szCs w:val="24"/>
        </w:rPr>
        <w:t xml:space="preserve"> pokud v řízení nepokračují právní nástupci (</w:t>
      </w:r>
      <w:r w:rsidRPr="00467357">
        <w:rPr>
          <w:rFonts w:ascii="Arial" w:hAnsi="Arial" w:cs="Arial"/>
          <w:bCs/>
          <w:szCs w:val="24"/>
        </w:rPr>
        <w:t>splňující podmínky právního nástupnictví uvedené v § 2g odst. 2 zákona č. 252/1997 Sb., o zemědělství, ve znění pozdějších předpisů)</w:t>
      </w:r>
      <w:r w:rsidRPr="00467357">
        <w:rPr>
          <w:rFonts w:ascii="Arial" w:hAnsi="Arial" w:cs="Arial"/>
          <w:szCs w:val="24"/>
        </w:rPr>
        <w:t>.</w:t>
      </w:r>
    </w:p>
    <w:p w:rsidR="009D5E43" w:rsidRPr="00467357" w:rsidRDefault="009D5E43" w:rsidP="009D5E43">
      <w:pPr>
        <w:pStyle w:val="Znaeka"/>
        <w:numPr>
          <w:ilvl w:val="0"/>
          <w:numId w:val="6"/>
        </w:numPr>
        <w:spacing w:before="120" w:after="120"/>
        <w:ind w:left="397" w:hanging="397"/>
        <w:rPr>
          <w:rFonts w:ascii="Arial" w:hAnsi="Arial" w:cs="Arial"/>
          <w:szCs w:val="24"/>
        </w:rPr>
      </w:pPr>
      <w:r w:rsidRPr="00467357">
        <w:rPr>
          <w:rFonts w:ascii="Arial" w:hAnsi="Arial" w:cs="Arial"/>
          <w:szCs w:val="24"/>
        </w:rPr>
        <w:t>Fond žádost o dotaci zamítne v případě, že nebudou splněny podmínky uvedené v příslušných předpisech dle písmene a) tohoto bodu.</w:t>
      </w:r>
    </w:p>
    <w:p w:rsidR="009D5E43" w:rsidRPr="00467357" w:rsidRDefault="009D5E43" w:rsidP="009D5E43">
      <w:pPr>
        <w:pStyle w:val="Znaeka"/>
        <w:numPr>
          <w:ilvl w:val="0"/>
          <w:numId w:val="6"/>
        </w:numPr>
        <w:spacing w:before="120" w:after="120"/>
        <w:ind w:left="397" w:hanging="397"/>
        <w:rPr>
          <w:rFonts w:ascii="Arial" w:hAnsi="Arial" w:cs="Arial"/>
          <w:strike/>
          <w:szCs w:val="24"/>
        </w:rPr>
      </w:pPr>
      <w:r w:rsidRPr="00467357">
        <w:rPr>
          <w:rFonts w:ascii="Arial" w:hAnsi="Arial" w:cs="Arial"/>
          <w:szCs w:val="24"/>
        </w:rPr>
        <w:t>Dotace se poskytuje převodem na bankovní účet uvedený žadatelem v žádosti o dotaci.</w:t>
      </w:r>
    </w:p>
    <w:p w:rsidR="009D5E43" w:rsidRPr="00467357" w:rsidRDefault="009D5E43" w:rsidP="009D5E43">
      <w:pPr>
        <w:pStyle w:val="Odstavecseseznamem"/>
        <w:numPr>
          <w:ilvl w:val="0"/>
          <w:numId w:val="1"/>
        </w:numPr>
        <w:spacing w:before="240" w:after="240"/>
        <w:ind w:left="1077" w:hanging="357"/>
        <w:contextualSpacing w:val="0"/>
        <w:jc w:val="center"/>
        <w:rPr>
          <w:rFonts w:ascii="Arial" w:hAnsi="Arial" w:cs="Arial"/>
          <w:color w:val="000000"/>
        </w:rPr>
      </w:pPr>
      <w:r w:rsidRPr="00467357">
        <w:rPr>
          <w:rFonts w:ascii="Arial" w:hAnsi="Arial" w:cs="Arial"/>
          <w:b/>
          <w:color w:val="000000"/>
        </w:rPr>
        <w:t>Vrácení dotace</w:t>
      </w:r>
    </w:p>
    <w:p w:rsidR="009D5E43" w:rsidRPr="00467357" w:rsidRDefault="009D5E43" w:rsidP="009D5E43">
      <w:pPr>
        <w:pStyle w:val="Znaeka"/>
        <w:spacing w:before="120" w:after="0"/>
        <w:ind w:left="0"/>
        <w:rPr>
          <w:rFonts w:ascii="Arial" w:hAnsi="Arial" w:cs="Arial"/>
          <w:szCs w:val="24"/>
        </w:rPr>
      </w:pPr>
      <w:r w:rsidRPr="00467357">
        <w:rPr>
          <w:rFonts w:ascii="Arial" w:hAnsi="Arial" w:cs="Arial"/>
          <w:szCs w:val="24"/>
        </w:rPr>
        <w:t>Fond s žadatelem zahájí řízení o vrácení již poskytnuté dotace v případě, že:</w:t>
      </w:r>
    </w:p>
    <w:p w:rsidR="009D5E43" w:rsidRPr="00467357" w:rsidRDefault="009D5E43" w:rsidP="009D5E43">
      <w:pPr>
        <w:pStyle w:val="Znaeka"/>
        <w:numPr>
          <w:ilvl w:val="0"/>
          <w:numId w:val="8"/>
        </w:numPr>
        <w:spacing w:before="120" w:after="0"/>
        <w:ind w:left="714" w:hanging="357"/>
        <w:rPr>
          <w:rFonts w:ascii="Arial" w:hAnsi="Arial" w:cs="Arial"/>
          <w:szCs w:val="24"/>
        </w:rPr>
      </w:pPr>
      <w:r w:rsidRPr="00467357">
        <w:rPr>
          <w:rFonts w:ascii="Arial" w:hAnsi="Arial" w:cs="Arial"/>
          <w:szCs w:val="24"/>
        </w:rPr>
        <w:t>Fond zjistí, že dotace byla žadateli poskytnuta na základě uvedení neúplných nebo nepravdivých údajů;</w:t>
      </w:r>
    </w:p>
    <w:p w:rsidR="009D5E43" w:rsidRPr="00467357" w:rsidRDefault="009D5E43" w:rsidP="009D5E43">
      <w:pPr>
        <w:pStyle w:val="Znaeka"/>
        <w:numPr>
          <w:ilvl w:val="0"/>
          <w:numId w:val="8"/>
        </w:numPr>
        <w:spacing w:before="120" w:after="120"/>
        <w:ind w:left="714" w:hanging="357"/>
        <w:rPr>
          <w:rFonts w:ascii="Arial" w:hAnsi="Arial" w:cs="Arial"/>
          <w:szCs w:val="24"/>
        </w:rPr>
      </w:pPr>
      <w:r w:rsidRPr="00467357">
        <w:rPr>
          <w:rFonts w:ascii="Arial" w:hAnsi="Arial" w:cs="Arial"/>
          <w:szCs w:val="24"/>
        </w:rPr>
        <w:t>Fond zjistí, že žadatel nesplnil nebo porušil obecné podmínky nebo podmínky stanovené pro příslušný dotační program, nebo že nedošlo k naplnění účelu, pro který byla dotace poskytnuta.</w:t>
      </w:r>
    </w:p>
    <w:p w:rsidR="009D5E43" w:rsidRPr="00467357" w:rsidRDefault="009D5E43" w:rsidP="009D5E43">
      <w:pPr>
        <w:pStyle w:val="Odstavecseseznamem"/>
        <w:numPr>
          <w:ilvl w:val="0"/>
          <w:numId w:val="1"/>
        </w:numPr>
        <w:spacing w:before="240" w:after="240"/>
        <w:ind w:left="1077" w:hanging="357"/>
        <w:contextualSpacing w:val="0"/>
        <w:jc w:val="center"/>
        <w:rPr>
          <w:rFonts w:ascii="Arial" w:hAnsi="Arial" w:cs="Arial"/>
          <w:color w:val="000000"/>
        </w:rPr>
      </w:pPr>
      <w:r w:rsidRPr="00467357">
        <w:rPr>
          <w:rFonts w:ascii="Arial" w:hAnsi="Arial" w:cs="Arial"/>
          <w:b/>
          <w:color w:val="000000"/>
        </w:rPr>
        <w:t>Závěrečná ustanovení</w:t>
      </w:r>
    </w:p>
    <w:p w:rsidR="009D5E43" w:rsidRPr="00467357" w:rsidRDefault="009D5E43" w:rsidP="009D5E43">
      <w:pPr>
        <w:pStyle w:val="Znaeka"/>
        <w:spacing w:before="120" w:after="0"/>
        <w:ind w:left="0"/>
        <w:rPr>
          <w:rFonts w:ascii="Arial" w:hAnsi="Arial" w:cs="Arial"/>
          <w:szCs w:val="24"/>
        </w:rPr>
      </w:pPr>
      <w:r w:rsidRPr="00467357">
        <w:rPr>
          <w:rFonts w:ascii="Arial" w:hAnsi="Arial" w:cs="Arial"/>
          <w:szCs w:val="24"/>
        </w:rPr>
        <w:t>Fond je povinen zaznamenávat do centrálního evidenčního systému veřejných podpor údaje o veřejné podpoře poskytnuté na základě nařízení Komise (EU) č. 702/2014, č. 651/2014, pokynů Evropské unie ke státní podpoře v odvětvích zemědělství a lesnictví a ve venkovských oblastech na období 2014 až 2020, pokynů pro posuzování státní podpory v odvětví rybolovu a akvakultury, a to do 6 měsíců ode dne poskytnutí této podpory. Tato povinnost se vztahuje na každou jednotlivou podporu, která přesáhne částku 60 000 EUR u příjemců z odvětví zemědělské prvovýroby, částku 30 000 EUR u příjemců z odvětví rybolovu a akvakultury či částku 500 000 EUR u příjemců ze všech ostatních odvětví.</w:t>
      </w:r>
    </w:p>
    <w:p w:rsidR="009D5E43" w:rsidRPr="00467357" w:rsidRDefault="009D5E43" w:rsidP="009D5E43">
      <w:pPr>
        <w:pStyle w:val="Znaeka"/>
        <w:spacing w:before="120" w:after="0"/>
        <w:ind w:left="0"/>
        <w:rPr>
          <w:rFonts w:ascii="Arial" w:hAnsi="Arial" w:cs="Arial"/>
          <w:szCs w:val="24"/>
        </w:rPr>
      </w:pPr>
      <w:r w:rsidRPr="00467357">
        <w:rPr>
          <w:rFonts w:ascii="Arial" w:hAnsi="Arial" w:cs="Arial"/>
          <w:szCs w:val="24"/>
        </w:rPr>
        <w:t>Fond si vyhrazuje právo na základě rozhodnutí MZe z důvodu nedostatku finančních prostředků příslušný dotační program nerealizovat.</w:t>
      </w:r>
    </w:p>
    <w:p w:rsidR="009D5E43" w:rsidRDefault="009D5E43" w:rsidP="009D5E43">
      <w:pPr>
        <w:pStyle w:val="Znaeka"/>
        <w:spacing w:before="120" w:after="0"/>
        <w:ind w:left="0"/>
        <w:rPr>
          <w:rFonts w:ascii="Arial" w:hAnsi="Arial" w:cs="Arial"/>
          <w:szCs w:val="24"/>
        </w:rPr>
      </w:pPr>
      <w:r w:rsidRPr="00467357">
        <w:rPr>
          <w:rFonts w:ascii="Arial" w:hAnsi="Arial" w:cs="Arial"/>
          <w:szCs w:val="24"/>
        </w:rPr>
        <w:t>V odůvodněných případech může MZe provést zpřesnění těchto Zásad v průběhu roku.</w:t>
      </w:r>
    </w:p>
    <w:p w:rsidR="009D5E43" w:rsidRPr="00467357" w:rsidRDefault="009D5E43" w:rsidP="009D5E43">
      <w:pPr>
        <w:pStyle w:val="Odstavecseseznamem"/>
        <w:numPr>
          <w:ilvl w:val="0"/>
          <w:numId w:val="1"/>
        </w:numPr>
        <w:spacing w:before="240" w:after="240"/>
        <w:ind w:left="1077" w:hanging="357"/>
        <w:contextualSpacing w:val="0"/>
        <w:jc w:val="center"/>
        <w:rPr>
          <w:rFonts w:ascii="Arial" w:hAnsi="Arial" w:cs="Arial"/>
          <w:color w:val="000000"/>
        </w:rPr>
      </w:pPr>
      <w:r>
        <w:rPr>
          <w:rFonts w:ascii="Arial" w:hAnsi="Arial" w:cs="Arial"/>
        </w:rPr>
        <w:br w:type="page"/>
      </w:r>
      <w:r w:rsidRPr="00467357">
        <w:rPr>
          <w:rFonts w:ascii="Arial" w:hAnsi="Arial" w:cs="Arial"/>
          <w:b/>
          <w:color w:val="000000"/>
        </w:rPr>
        <w:lastRenderedPageBreak/>
        <w:t>Výklad zkratek</w:t>
      </w:r>
    </w:p>
    <w:p w:rsidR="009D5E43" w:rsidRPr="00467357" w:rsidRDefault="009D5E43" w:rsidP="009D5E43">
      <w:pPr>
        <w:pStyle w:val="Default"/>
        <w:spacing w:before="120"/>
        <w:rPr>
          <w:rFonts w:ascii="Arial" w:hAnsi="Arial" w:cs="Arial"/>
        </w:rPr>
      </w:pPr>
      <w:r w:rsidRPr="00467357">
        <w:rPr>
          <w:rFonts w:ascii="Arial" w:hAnsi="Arial" w:cs="Arial"/>
        </w:rPr>
        <w:t>Pro účely Zásad se rozumí:</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color w:val="000000"/>
        </w:rPr>
        <w:t>DPB – díl půdního bloku,</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color w:val="000000"/>
        </w:rPr>
        <w:t>FO – fyzická osoba,</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iCs/>
          <w:color w:val="000000"/>
        </w:rPr>
        <w:t>HPK – hlavní plemenná kniha,</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color w:val="000000"/>
        </w:rPr>
        <w:t xml:space="preserve">IZR – </w:t>
      </w:r>
      <w:r w:rsidRPr="00467357">
        <w:rPr>
          <w:rFonts w:ascii="Arial" w:hAnsi="Arial" w:cs="Arial"/>
          <w:color w:val="000000"/>
          <w:lang w:val="cs-CZ"/>
        </w:rPr>
        <w:t>Integrovaný zemědělský registr,</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iCs/>
          <w:color w:val="000000"/>
        </w:rPr>
        <w:t>KD – kontrola dědičnosti,</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iCs/>
          <w:color w:val="000000"/>
        </w:rPr>
        <w:t>KU – kontrola užitkovosti,</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color w:val="000000"/>
        </w:rPr>
        <w:t>LPIS – Registr půdy – evidence využití půdy podle uživatelských vztahů,</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color w:val="000000"/>
        </w:rPr>
        <w:t>nařízení (EU) č. 508/2014 – nařízení Evropského parlamentu a Rady (EU)</w:t>
      </w:r>
      <w:r w:rsidRPr="00467357">
        <w:rPr>
          <w:rFonts w:ascii="Arial" w:hAnsi="Arial" w:cs="Arial"/>
          <w:color w:val="000000"/>
          <w:lang w:val="cs-CZ"/>
        </w:rPr>
        <w:t xml:space="preserve"> </w:t>
      </w:r>
      <w:r w:rsidRPr="00467357">
        <w:rPr>
          <w:rFonts w:ascii="Arial" w:hAnsi="Arial" w:cs="Arial"/>
          <w:color w:val="000000"/>
        </w:rPr>
        <w:t>č.</w:t>
      </w:r>
      <w:r w:rsidRPr="00467357">
        <w:rPr>
          <w:rFonts w:ascii="Arial" w:hAnsi="Arial" w:cs="Arial"/>
          <w:color w:val="000000"/>
          <w:lang w:val="cs-CZ"/>
        </w:rPr>
        <w:t> </w:t>
      </w:r>
      <w:r w:rsidRPr="00467357">
        <w:rPr>
          <w:rFonts w:ascii="Arial" w:hAnsi="Arial" w:cs="Arial"/>
          <w:color w:val="000000"/>
        </w:rPr>
        <w:t>508/2014, o Evropském námořním a rybářském fondu a o zrušení nařízení Rady (ES) č. </w:t>
      </w:r>
      <w:r w:rsidRPr="00467357">
        <w:rPr>
          <w:rFonts w:ascii="Arial" w:hAnsi="Arial" w:cs="Arial"/>
          <w:iCs/>
          <w:color w:val="000000"/>
        </w:rPr>
        <w:t>2328/2003, (ES) č. 861/2006, (ES) č. 1198/2006 a (ES) č. 791/2007</w:t>
      </w:r>
      <w:r w:rsidRPr="00467357">
        <w:rPr>
          <w:rFonts w:ascii="Arial" w:hAnsi="Arial" w:cs="Arial"/>
          <w:iCs/>
          <w:color w:val="000000"/>
          <w:lang w:val="cs-CZ"/>
        </w:rPr>
        <w:t xml:space="preserve"> </w:t>
      </w:r>
      <w:r w:rsidRPr="00467357">
        <w:rPr>
          <w:rFonts w:ascii="Arial" w:hAnsi="Arial" w:cs="Arial"/>
          <w:iCs/>
          <w:color w:val="000000"/>
        </w:rPr>
        <w:t>a nařízení Evropského parlamentu a Rady (EU) č. 1255/2011,</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iCs/>
          <w:color w:val="000000"/>
        </w:rPr>
        <w:t>NOPRM – Národní ozdravovací program pro ozdravení rozmnožovacího materiálu ovocných rostlin, révy a chmele v České republice od hospodářsky významných škodlivých organismů rostlin,</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iCs/>
          <w:color w:val="000000"/>
        </w:rPr>
        <w:t>PK – plemenná kniha,</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iCs/>
          <w:color w:val="000000"/>
        </w:rPr>
        <w:t>PO – právnická osoba,</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color w:val="000000"/>
        </w:rPr>
        <w:t>SISPO – Svaz pro integrované systémy pěstování ovoce,</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color w:val="000000"/>
        </w:rPr>
        <w:t xml:space="preserve">správní řád </w:t>
      </w:r>
      <w:r w:rsidRPr="00467357">
        <w:rPr>
          <w:rFonts w:ascii="Arial" w:hAnsi="Arial" w:cs="Arial"/>
          <w:color w:val="000000"/>
          <w:lang w:val="cs-CZ"/>
        </w:rPr>
        <w:t>–</w:t>
      </w:r>
      <w:r w:rsidRPr="00467357">
        <w:rPr>
          <w:rFonts w:ascii="Arial" w:hAnsi="Arial" w:cs="Arial"/>
          <w:color w:val="000000"/>
        </w:rPr>
        <w:t xml:space="preserve"> </w:t>
      </w:r>
      <w:r w:rsidRPr="00467357">
        <w:rPr>
          <w:rFonts w:ascii="Arial" w:hAnsi="Arial" w:cs="Arial"/>
          <w:color w:val="000000"/>
          <w:lang w:eastAsia="cs-CZ"/>
        </w:rPr>
        <w:t>zákon č. 500/2004 Sb., správní řád, ve znění pozdějších předpisů</w:t>
      </w:r>
      <w:r w:rsidRPr="00467357">
        <w:rPr>
          <w:rFonts w:ascii="Arial" w:hAnsi="Arial" w:cs="Arial"/>
          <w:color w:val="000000"/>
          <w:lang w:val="cs-CZ" w:eastAsia="cs-CZ"/>
        </w:rPr>
        <w:t>,</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color w:val="000000"/>
        </w:rPr>
        <w:t>ÚKZÚZ – Ústřední kontrolní a zkušební ústav zemědělský,</w:t>
      </w:r>
    </w:p>
    <w:p w:rsidR="009D5E43" w:rsidRPr="00C30079"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color w:val="000000"/>
          <w:lang w:val="cs-CZ"/>
        </w:rPr>
        <w:t xml:space="preserve">VJ </w:t>
      </w:r>
      <w:r w:rsidRPr="00467357">
        <w:rPr>
          <w:rFonts w:ascii="Arial" w:hAnsi="Arial" w:cs="Arial"/>
          <w:iCs/>
          <w:color w:val="000000"/>
        </w:rPr>
        <w:t>–</w:t>
      </w:r>
      <w:r w:rsidRPr="00467357">
        <w:rPr>
          <w:rFonts w:ascii="Arial" w:hAnsi="Arial" w:cs="Arial"/>
          <w:iCs/>
          <w:color w:val="000000"/>
          <w:lang w:val="cs-CZ"/>
        </w:rPr>
        <w:t xml:space="preserve"> výsevní jednotka,</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Pr>
          <w:rFonts w:ascii="Arial" w:hAnsi="Arial" w:cs="Arial"/>
          <w:iCs/>
          <w:color w:val="000000"/>
          <w:lang w:val="cs-CZ"/>
        </w:rPr>
        <w:t>ZZVZ – zákon</w:t>
      </w:r>
      <w:r w:rsidRPr="00C30079">
        <w:rPr>
          <w:rFonts w:ascii="Arial" w:hAnsi="Arial" w:cs="Arial"/>
          <w:color w:val="000000"/>
          <w:lang w:val="cs-CZ"/>
        </w:rPr>
        <w:t xml:space="preserve"> č. 134/2016 Sb., o zadávání veřejných zakázek, ve znění pozdějších předpisů</w:t>
      </w:r>
      <w:r>
        <w:rPr>
          <w:rFonts w:ascii="Arial" w:hAnsi="Arial" w:cs="Arial"/>
          <w:color w:val="000000"/>
          <w:lang w:val="cs-CZ"/>
        </w:rPr>
        <w:t>,</w:t>
      </w:r>
    </w:p>
    <w:p w:rsidR="009D5E43" w:rsidRPr="00467357" w:rsidRDefault="009D5E43" w:rsidP="009D5E43">
      <w:pPr>
        <w:pStyle w:val="Odstavecseseznamem"/>
        <w:numPr>
          <w:ilvl w:val="0"/>
          <w:numId w:val="10"/>
        </w:numPr>
        <w:spacing w:before="120"/>
        <w:ind w:left="397" w:hanging="397"/>
        <w:jc w:val="both"/>
        <w:rPr>
          <w:rFonts w:ascii="Arial" w:hAnsi="Arial" w:cs="Arial"/>
          <w:color w:val="000000"/>
        </w:rPr>
      </w:pPr>
      <w:r w:rsidRPr="00467357">
        <w:rPr>
          <w:rFonts w:ascii="Arial" w:hAnsi="Arial" w:cs="Arial"/>
          <w:color w:val="000000"/>
        </w:rPr>
        <w:t>zákon o Státním zemědělském intervenčním fondu - zákon č. 256/2000 Sb.</w:t>
      </w:r>
      <w:r w:rsidRPr="00467357">
        <w:rPr>
          <w:rFonts w:ascii="Arial" w:hAnsi="Arial" w:cs="Arial"/>
          <w:color w:val="000000"/>
          <w:lang w:val="cs-CZ"/>
        </w:rPr>
        <w:t xml:space="preserve"> </w:t>
      </w:r>
      <w:r w:rsidRPr="00467357">
        <w:rPr>
          <w:rFonts w:ascii="Arial" w:hAnsi="Arial" w:cs="Arial"/>
          <w:color w:val="000000"/>
        </w:rPr>
        <w:t>o</w:t>
      </w:r>
      <w:r w:rsidRPr="00467357">
        <w:rPr>
          <w:rFonts w:ascii="Arial" w:hAnsi="Arial" w:cs="Arial"/>
          <w:color w:val="000000"/>
          <w:lang w:val="cs-CZ"/>
        </w:rPr>
        <w:t> </w:t>
      </w:r>
      <w:r w:rsidRPr="00467357">
        <w:rPr>
          <w:rFonts w:ascii="Arial" w:hAnsi="Arial" w:cs="Arial"/>
          <w:color w:val="000000"/>
        </w:rPr>
        <w:t xml:space="preserve">Státním zemědělském intervenčním fondu a o změně některých dalších zákonů </w:t>
      </w:r>
      <w:r w:rsidRPr="00467357">
        <w:rPr>
          <w:rFonts w:ascii="Arial" w:hAnsi="Arial" w:cs="Arial"/>
          <w:color w:val="000000"/>
          <w:spacing w:val="-2"/>
        </w:rPr>
        <w:t>(zákon o Státním zemědělském intervenčním fondu), ve znění pozdějších předpisů,</w:t>
      </w:r>
    </w:p>
    <w:p w:rsidR="009D5E43" w:rsidRPr="00467357" w:rsidRDefault="009D5E43" w:rsidP="009D5E43">
      <w:pPr>
        <w:pStyle w:val="Odstavecseseznamem"/>
        <w:numPr>
          <w:ilvl w:val="0"/>
          <w:numId w:val="10"/>
        </w:numPr>
        <w:spacing w:before="120"/>
        <w:ind w:left="397" w:hanging="397"/>
        <w:jc w:val="both"/>
        <w:rPr>
          <w:rFonts w:ascii="Arial" w:hAnsi="Arial" w:cs="Arial"/>
          <w:color w:val="000000"/>
        </w:rPr>
      </w:pPr>
      <w:r w:rsidRPr="00467357">
        <w:rPr>
          <w:rFonts w:ascii="Arial" w:hAnsi="Arial" w:cs="Arial"/>
          <w:color w:val="000000"/>
        </w:rPr>
        <w:t xml:space="preserve">zákon č. 252/1997 Sb. </w:t>
      </w:r>
      <w:r w:rsidRPr="00467357">
        <w:rPr>
          <w:rFonts w:ascii="Arial" w:hAnsi="Arial" w:cs="Arial"/>
          <w:color w:val="000000"/>
          <w:lang w:val="cs-CZ"/>
        </w:rPr>
        <w:t>–</w:t>
      </w:r>
      <w:r w:rsidRPr="00467357">
        <w:rPr>
          <w:rFonts w:ascii="Arial" w:hAnsi="Arial" w:cs="Arial"/>
          <w:color w:val="000000"/>
        </w:rPr>
        <w:t xml:space="preserve"> zákon č. 252/1997 Sb</w:t>
      </w:r>
      <w:r w:rsidRPr="00467357">
        <w:rPr>
          <w:rFonts w:ascii="Arial" w:hAnsi="Arial" w:cs="Arial"/>
          <w:color w:val="000000"/>
          <w:lang w:val="cs-CZ"/>
        </w:rPr>
        <w:t>.</w:t>
      </w:r>
      <w:r w:rsidRPr="00467357">
        <w:rPr>
          <w:rFonts w:ascii="Arial" w:hAnsi="Arial" w:cs="Arial"/>
          <w:color w:val="000000"/>
        </w:rPr>
        <w:t>, o zemědělství, ve znění pozdějších předpisů,</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color w:val="000000"/>
          <w:spacing w:val="-4"/>
        </w:rPr>
        <w:t>zákon č. 89/2012 Sb. – zákon č. 89/2012 Sb., občanský zákoník, ve znění pozdějších</w:t>
      </w:r>
      <w:r w:rsidRPr="00467357">
        <w:rPr>
          <w:rFonts w:ascii="Arial" w:hAnsi="Arial" w:cs="Arial"/>
          <w:color w:val="000000"/>
        </w:rPr>
        <w:t xml:space="preserve"> předpisů,</w:t>
      </w:r>
    </w:p>
    <w:p w:rsidR="009D5E43" w:rsidRPr="00467357" w:rsidRDefault="009D5E43" w:rsidP="009D5E43">
      <w:pPr>
        <w:pStyle w:val="Odstavecseseznamem"/>
        <w:numPr>
          <w:ilvl w:val="0"/>
          <w:numId w:val="10"/>
        </w:numPr>
        <w:spacing w:before="120"/>
        <w:ind w:left="397" w:hanging="397"/>
        <w:jc w:val="both"/>
        <w:rPr>
          <w:rFonts w:ascii="Arial" w:hAnsi="Arial" w:cs="Arial"/>
          <w:color w:val="000000"/>
        </w:rPr>
      </w:pPr>
      <w:r w:rsidRPr="00467357">
        <w:rPr>
          <w:rFonts w:ascii="Arial" w:hAnsi="Arial" w:cs="Arial"/>
          <w:color w:val="000000"/>
        </w:rPr>
        <w:t>zákon č. 99/2004 Sb. – zákon č. 99/2004 Sb., o rybářství, ve znění pozdějších předpisů,</w:t>
      </w:r>
    </w:p>
    <w:p w:rsidR="009D5E43" w:rsidRPr="00467357" w:rsidRDefault="009D5E43" w:rsidP="009D5E43">
      <w:pPr>
        <w:pStyle w:val="Odstavecseseznamem"/>
        <w:numPr>
          <w:ilvl w:val="0"/>
          <w:numId w:val="10"/>
        </w:numPr>
        <w:spacing w:before="120"/>
        <w:ind w:left="397" w:hanging="397"/>
        <w:jc w:val="both"/>
        <w:rPr>
          <w:rFonts w:ascii="Arial" w:hAnsi="Arial" w:cs="Arial"/>
          <w:color w:val="000000"/>
        </w:rPr>
      </w:pPr>
      <w:r w:rsidRPr="00467357">
        <w:rPr>
          <w:rFonts w:ascii="Arial" w:hAnsi="Arial" w:cs="Arial"/>
          <w:color w:val="000000"/>
          <w:spacing w:val="-6"/>
        </w:rPr>
        <w:t xml:space="preserve">zákon č. 110/1997 Sb. </w:t>
      </w:r>
      <w:r w:rsidRPr="00467357">
        <w:rPr>
          <w:rFonts w:ascii="Arial" w:hAnsi="Arial" w:cs="Arial"/>
          <w:color w:val="000000"/>
          <w:spacing w:val="-6"/>
          <w:lang w:val="cs-CZ"/>
        </w:rPr>
        <w:t>–</w:t>
      </w:r>
      <w:r w:rsidRPr="00467357">
        <w:rPr>
          <w:rFonts w:ascii="Arial" w:hAnsi="Arial" w:cs="Arial"/>
          <w:color w:val="000000"/>
          <w:spacing w:val="-6"/>
        </w:rPr>
        <w:t xml:space="preserve"> zákon č. 110/1997 Sb., o potravinách a tabákových výrobcích,</w:t>
      </w:r>
      <w:r w:rsidRPr="00467357">
        <w:rPr>
          <w:rFonts w:ascii="Arial" w:hAnsi="Arial" w:cs="Arial"/>
          <w:color w:val="000000"/>
        </w:rPr>
        <w:t xml:space="preserve"> ve znění pozdějších předpisů,</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color w:val="000000"/>
        </w:rPr>
        <w:t>zákon č. 154/2000 Sb. – zákon č. 154/2000 Sb., o šlechtění, plemenitbě</w:t>
      </w:r>
      <w:r w:rsidRPr="00467357">
        <w:rPr>
          <w:rFonts w:ascii="Arial" w:hAnsi="Arial" w:cs="Arial"/>
          <w:color w:val="000000"/>
          <w:lang w:val="cs-CZ"/>
        </w:rPr>
        <w:t xml:space="preserve"> </w:t>
      </w:r>
      <w:r w:rsidRPr="00467357">
        <w:rPr>
          <w:rFonts w:ascii="Arial" w:hAnsi="Arial" w:cs="Arial"/>
          <w:color w:val="000000"/>
        </w:rPr>
        <w:t>a</w:t>
      </w:r>
      <w:r w:rsidRPr="00467357">
        <w:rPr>
          <w:rFonts w:ascii="Arial" w:hAnsi="Arial" w:cs="Arial"/>
          <w:color w:val="000000"/>
          <w:lang w:val="cs-CZ"/>
        </w:rPr>
        <w:t> </w:t>
      </w:r>
      <w:r w:rsidRPr="00467357">
        <w:rPr>
          <w:rFonts w:ascii="Arial" w:hAnsi="Arial" w:cs="Arial"/>
          <w:color w:val="000000"/>
        </w:rPr>
        <w:t>evidenci hospodářských zvířat a o změně některých souvisejících zákonů (plemenářský zákon), ve znění pozdějších předpisů,</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iCs/>
          <w:color w:val="000000"/>
        </w:rPr>
        <w:t xml:space="preserve">zákon č. 166/1999 Sb. – </w:t>
      </w:r>
      <w:r w:rsidRPr="00467357">
        <w:rPr>
          <w:rFonts w:ascii="Arial" w:hAnsi="Arial" w:cs="Arial"/>
          <w:color w:val="000000"/>
        </w:rPr>
        <w:t>zákon č. 166/1999 Sb., o veterinární péči a o změně některých souvisejících zákonů (veterinární zákon), ve znění pozdějších předpisů,</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iCs/>
          <w:color w:val="000000"/>
        </w:rPr>
        <w:t>zákon č. 219/2003 Sb. – zákon č. 219/2003 Sb., o uvádění do oběhu osiva</w:t>
      </w:r>
      <w:r w:rsidRPr="00467357">
        <w:rPr>
          <w:rFonts w:ascii="Arial" w:hAnsi="Arial" w:cs="Arial"/>
          <w:iCs/>
          <w:color w:val="000000"/>
          <w:lang w:val="cs-CZ"/>
        </w:rPr>
        <w:t xml:space="preserve"> </w:t>
      </w:r>
      <w:r w:rsidRPr="00467357">
        <w:rPr>
          <w:rFonts w:ascii="Arial" w:hAnsi="Arial" w:cs="Arial"/>
          <w:iCs/>
          <w:color w:val="000000"/>
        </w:rPr>
        <w:t>a</w:t>
      </w:r>
      <w:r w:rsidRPr="00467357">
        <w:rPr>
          <w:rFonts w:ascii="Arial" w:hAnsi="Arial" w:cs="Arial"/>
          <w:iCs/>
          <w:color w:val="000000"/>
          <w:lang w:val="cs-CZ"/>
        </w:rPr>
        <w:t> </w:t>
      </w:r>
      <w:r w:rsidRPr="00467357">
        <w:rPr>
          <w:rFonts w:ascii="Arial" w:hAnsi="Arial" w:cs="Arial"/>
          <w:iCs/>
          <w:color w:val="000000"/>
        </w:rPr>
        <w:t>sadby pěstovaných rostlin a o změně některých zákonů (zákon o oběhu osiva</w:t>
      </w:r>
      <w:r w:rsidRPr="00467357">
        <w:rPr>
          <w:rFonts w:ascii="Arial" w:hAnsi="Arial" w:cs="Arial"/>
          <w:iCs/>
          <w:color w:val="000000"/>
          <w:lang w:val="cs-CZ"/>
        </w:rPr>
        <w:t xml:space="preserve"> </w:t>
      </w:r>
      <w:r w:rsidRPr="00467357">
        <w:rPr>
          <w:rFonts w:ascii="Arial" w:hAnsi="Arial" w:cs="Arial"/>
          <w:iCs/>
          <w:color w:val="000000"/>
        </w:rPr>
        <w:t>a</w:t>
      </w:r>
      <w:r w:rsidRPr="00467357">
        <w:rPr>
          <w:rFonts w:ascii="Arial" w:hAnsi="Arial" w:cs="Arial"/>
          <w:iCs/>
          <w:color w:val="000000"/>
          <w:lang w:val="cs-CZ"/>
        </w:rPr>
        <w:t> </w:t>
      </w:r>
      <w:r w:rsidRPr="00467357">
        <w:rPr>
          <w:rFonts w:ascii="Arial" w:hAnsi="Arial" w:cs="Arial"/>
          <w:iCs/>
          <w:color w:val="000000"/>
        </w:rPr>
        <w:t>sadby), ve znění pozdějších předpisů,</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iCs/>
          <w:color w:val="000000"/>
          <w:spacing w:val="-6"/>
        </w:rPr>
        <w:t xml:space="preserve">zákon č. 242/2000 Sb. – </w:t>
      </w:r>
      <w:r w:rsidRPr="00467357">
        <w:rPr>
          <w:rFonts w:ascii="Arial" w:hAnsi="Arial" w:cs="Arial"/>
          <w:color w:val="000000"/>
          <w:spacing w:val="-6"/>
        </w:rPr>
        <w:t>zákon č. 242/2000 Sb., o ekologickém zemědělství</w:t>
      </w:r>
      <w:r w:rsidRPr="00467357">
        <w:rPr>
          <w:rFonts w:ascii="Arial" w:hAnsi="Arial" w:cs="Arial"/>
          <w:color w:val="000000"/>
          <w:spacing w:val="-6"/>
          <w:lang w:val="cs-CZ"/>
        </w:rPr>
        <w:t xml:space="preserve"> </w:t>
      </w:r>
      <w:r w:rsidRPr="00467357">
        <w:rPr>
          <w:rFonts w:ascii="Arial" w:hAnsi="Arial" w:cs="Arial"/>
          <w:color w:val="000000"/>
          <w:spacing w:val="-6"/>
        </w:rPr>
        <w:t>a o</w:t>
      </w:r>
      <w:r w:rsidRPr="00467357">
        <w:rPr>
          <w:rFonts w:ascii="Arial" w:hAnsi="Arial" w:cs="Arial"/>
          <w:color w:val="000000"/>
          <w:spacing w:val="-6"/>
          <w:lang w:val="cs-CZ"/>
        </w:rPr>
        <w:t> </w:t>
      </w:r>
      <w:r w:rsidRPr="00467357">
        <w:rPr>
          <w:rFonts w:ascii="Arial" w:hAnsi="Arial" w:cs="Arial"/>
          <w:color w:val="000000"/>
          <w:spacing w:val="-6"/>
        </w:rPr>
        <w:t>změně</w:t>
      </w:r>
      <w:r w:rsidRPr="00467357">
        <w:rPr>
          <w:rFonts w:ascii="Arial" w:hAnsi="Arial" w:cs="Arial"/>
          <w:color w:val="000000"/>
        </w:rPr>
        <w:t xml:space="preserve"> zákona č. 368/1992 Sb., o správních poplatcích, ve znění pozdějších předpisů,</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color w:val="000000"/>
        </w:rPr>
        <w:t xml:space="preserve">zákon č. 246/1992 Sb. </w:t>
      </w:r>
      <w:r w:rsidRPr="00467357">
        <w:rPr>
          <w:rFonts w:ascii="Arial" w:hAnsi="Arial" w:cs="Arial"/>
          <w:iCs/>
          <w:color w:val="000000"/>
          <w:lang w:val="cs-CZ"/>
        </w:rPr>
        <w:t>–</w:t>
      </w:r>
      <w:r w:rsidRPr="00467357">
        <w:rPr>
          <w:rFonts w:ascii="Arial" w:hAnsi="Arial" w:cs="Arial"/>
          <w:color w:val="000000"/>
        </w:rPr>
        <w:t xml:space="preserve"> zákon č. 246/1992 Sb., na ochranu zvířat proti týrání, ve znění pozdějších předpisů,</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iCs/>
          <w:color w:val="000000"/>
        </w:rPr>
        <w:t xml:space="preserve">zákon č. 254/2001 Sb. – </w:t>
      </w:r>
      <w:r w:rsidRPr="00467357">
        <w:rPr>
          <w:rFonts w:ascii="Arial" w:hAnsi="Arial" w:cs="Arial"/>
          <w:color w:val="000000"/>
        </w:rPr>
        <w:t>zákon č. 254/2001 Sb., o vodách a o změně některých zákonů (vodní zákon), ve znění pozdějších předpisů,</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iCs/>
          <w:color w:val="000000"/>
          <w:spacing w:val="-2"/>
        </w:rPr>
        <w:lastRenderedPageBreak/>
        <w:t xml:space="preserve">zákon č. 262/2006 Sb. – </w:t>
      </w:r>
      <w:r w:rsidRPr="00467357">
        <w:rPr>
          <w:rFonts w:ascii="Arial" w:hAnsi="Arial" w:cs="Arial"/>
          <w:color w:val="000000"/>
          <w:spacing w:val="-2"/>
        </w:rPr>
        <w:t>zákon č. 262/2006 Sb., zákoník práce, ve znění pozdějších</w:t>
      </w:r>
      <w:r w:rsidRPr="00467357">
        <w:rPr>
          <w:rFonts w:ascii="Arial" w:hAnsi="Arial" w:cs="Arial"/>
          <w:color w:val="000000"/>
        </w:rPr>
        <w:t xml:space="preserve"> předpisů,</w:t>
      </w:r>
    </w:p>
    <w:p w:rsidR="009D5E43" w:rsidRPr="00467357" w:rsidRDefault="009D5E43" w:rsidP="009D5E43">
      <w:pPr>
        <w:pStyle w:val="Odstavecseseznamem"/>
        <w:numPr>
          <w:ilvl w:val="0"/>
          <w:numId w:val="10"/>
        </w:numPr>
        <w:spacing w:before="120"/>
        <w:ind w:left="397" w:hanging="397"/>
        <w:jc w:val="both"/>
        <w:rPr>
          <w:rFonts w:ascii="Arial" w:hAnsi="Arial" w:cs="Arial"/>
          <w:iCs/>
          <w:color w:val="000000"/>
        </w:rPr>
      </w:pPr>
      <w:r w:rsidRPr="00467357">
        <w:rPr>
          <w:rFonts w:ascii="Arial" w:hAnsi="Arial" w:cs="Arial"/>
          <w:color w:val="000000"/>
          <w:spacing w:val="-4"/>
        </w:rPr>
        <w:t>zákon č. 561/2004 Sb. – zákon č. 561/2004 Sb., o předškolním, základním, středním,</w:t>
      </w:r>
      <w:r w:rsidRPr="00467357">
        <w:rPr>
          <w:rFonts w:ascii="Arial" w:hAnsi="Arial" w:cs="Arial"/>
          <w:color w:val="000000"/>
        </w:rPr>
        <w:t xml:space="preserve"> </w:t>
      </w:r>
      <w:r w:rsidRPr="00467357">
        <w:rPr>
          <w:rFonts w:ascii="Arial" w:hAnsi="Arial" w:cs="Arial"/>
          <w:color w:val="000000"/>
          <w:spacing w:val="-2"/>
        </w:rPr>
        <w:t>vyšším odborném a jiném vzdělávání (školský zákon), ve znění pozdějších předpisů,</w:t>
      </w:r>
    </w:p>
    <w:p w:rsidR="009D5E43" w:rsidRPr="00960E53" w:rsidRDefault="009D5E43" w:rsidP="009D5E43">
      <w:pPr>
        <w:pStyle w:val="Odstavecseseznamem"/>
        <w:numPr>
          <w:ilvl w:val="0"/>
          <w:numId w:val="10"/>
        </w:numPr>
        <w:spacing w:before="120"/>
        <w:ind w:left="397" w:hanging="397"/>
        <w:jc w:val="both"/>
        <w:rPr>
          <w:rFonts w:ascii="Arial" w:hAnsi="Arial" w:cs="Arial"/>
          <w:iCs/>
          <w:lang w:val="cs-CZ"/>
        </w:rPr>
      </w:pPr>
      <w:r w:rsidRPr="00960E53">
        <w:rPr>
          <w:rFonts w:ascii="Arial" w:hAnsi="Arial" w:cs="Arial"/>
          <w:color w:val="000000"/>
          <w:lang w:val="cs-CZ"/>
        </w:rPr>
        <w:t>zákon č. 134/2016 Sb. - zákon č. 134/2016 Sb., o zadávání veřejných zakázek, ve znění pozdějších</w:t>
      </w:r>
      <w:r w:rsidRPr="00960E53">
        <w:rPr>
          <w:rFonts w:ascii="Arial" w:hAnsi="Arial" w:cs="Arial"/>
          <w:color w:val="FF0000"/>
          <w:lang w:val="cs-CZ"/>
        </w:rPr>
        <w:t xml:space="preserve"> </w:t>
      </w:r>
      <w:r w:rsidRPr="00960E53">
        <w:rPr>
          <w:rFonts w:ascii="Arial" w:hAnsi="Arial" w:cs="Arial"/>
          <w:color w:val="000000"/>
          <w:lang w:val="cs-CZ"/>
        </w:rPr>
        <w:t>předpisů.</w:t>
      </w:r>
    </w:p>
    <w:p w:rsidR="006455A5" w:rsidRDefault="006455A5" w:rsidP="009D5E43"/>
    <w:sectPr w:rsidR="006455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96799"/>
    <w:multiLevelType w:val="multilevel"/>
    <w:tmpl w:val="67545AFA"/>
    <w:lvl w:ilvl="0">
      <w:start w:val="1"/>
      <w:numFmt w:val="lowerLetter"/>
      <w:lvlText w:val="%1)"/>
      <w:lvlJc w:val="left"/>
      <w:pPr>
        <w:ind w:left="1198" w:hanging="360"/>
      </w:pPr>
    </w:lvl>
    <w:lvl w:ilvl="1">
      <w:start w:val="1"/>
      <w:numFmt w:val="lowerLetter"/>
      <w:lvlText w:val="%2."/>
      <w:lvlJc w:val="left"/>
      <w:pPr>
        <w:ind w:left="1918" w:hanging="360"/>
      </w:pPr>
    </w:lvl>
    <w:lvl w:ilvl="2">
      <w:start w:val="1"/>
      <w:numFmt w:val="lowerRoman"/>
      <w:lvlText w:val="%3."/>
      <w:lvlJc w:val="right"/>
      <w:pPr>
        <w:ind w:left="2638" w:hanging="180"/>
      </w:pPr>
    </w:lvl>
    <w:lvl w:ilvl="3">
      <w:start w:val="1"/>
      <w:numFmt w:val="decimal"/>
      <w:lvlText w:val="%4."/>
      <w:lvlJc w:val="left"/>
      <w:pPr>
        <w:ind w:left="3358" w:hanging="360"/>
      </w:pPr>
    </w:lvl>
    <w:lvl w:ilvl="4">
      <w:start w:val="1"/>
      <w:numFmt w:val="lowerLetter"/>
      <w:lvlText w:val="%5."/>
      <w:lvlJc w:val="left"/>
      <w:pPr>
        <w:ind w:left="4078" w:hanging="360"/>
      </w:pPr>
    </w:lvl>
    <w:lvl w:ilvl="5">
      <w:start w:val="1"/>
      <w:numFmt w:val="lowerRoman"/>
      <w:lvlText w:val="%6."/>
      <w:lvlJc w:val="right"/>
      <w:pPr>
        <w:ind w:left="4798" w:hanging="180"/>
      </w:pPr>
    </w:lvl>
    <w:lvl w:ilvl="6">
      <w:start w:val="1"/>
      <w:numFmt w:val="decimal"/>
      <w:lvlText w:val="%7."/>
      <w:lvlJc w:val="left"/>
      <w:pPr>
        <w:ind w:left="5518" w:hanging="360"/>
      </w:pPr>
    </w:lvl>
    <w:lvl w:ilvl="7">
      <w:start w:val="1"/>
      <w:numFmt w:val="lowerLetter"/>
      <w:lvlText w:val="%8."/>
      <w:lvlJc w:val="left"/>
      <w:pPr>
        <w:ind w:left="6238" w:hanging="360"/>
      </w:pPr>
    </w:lvl>
    <w:lvl w:ilvl="8">
      <w:start w:val="1"/>
      <w:numFmt w:val="lowerRoman"/>
      <w:lvlText w:val="%9."/>
      <w:lvlJc w:val="right"/>
      <w:pPr>
        <w:ind w:left="6958" w:hanging="180"/>
      </w:pPr>
    </w:lvl>
  </w:abstractNum>
  <w:abstractNum w:abstractNumId="1" w15:restartNumberingAfterBreak="0">
    <w:nsid w:val="13F14347"/>
    <w:multiLevelType w:val="multilevel"/>
    <w:tmpl w:val="248EADA2"/>
    <w:lvl w:ilvl="0">
      <w:start w:val="1"/>
      <w:numFmt w:val="lowerLetter"/>
      <w:lvlText w:val="%1)"/>
      <w:lvlJc w:val="left"/>
      <w:pPr>
        <w:ind w:left="1198" w:hanging="360"/>
      </w:pPr>
      <w:rPr>
        <w:strike w:val="0"/>
      </w:rPr>
    </w:lvl>
    <w:lvl w:ilvl="1">
      <w:start w:val="1"/>
      <w:numFmt w:val="lowerLetter"/>
      <w:lvlText w:val="%2."/>
      <w:lvlJc w:val="left"/>
      <w:pPr>
        <w:ind w:left="1918" w:hanging="360"/>
      </w:pPr>
    </w:lvl>
    <w:lvl w:ilvl="2">
      <w:start w:val="1"/>
      <w:numFmt w:val="lowerRoman"/>
      <w:lvlText w:val="%3."/>
      <w:lvlJc w:val="right"/>
      <w:pPr>
        <w:ind w:left="2638" w:hanging="180"/>
      </w:pPr>
    </w:lvl>
    <w:lvl w:ilvl="3">
      <w:start w:val="1"/>
      <w:numFmt w:val="decimal"/>
      <w:lvlText w:val="%4."/>
      <w:lvlJc w:val="left"/>
      <w:pPr>
        <w:ind w:left="3358" w:hanging="360"/>
      </w:pPr>
    </w:lvl>
    <w:lvl w:ilvl="4">
      <w:start w:val="1"/>
      <w:numFmt w:val="lowerLetter"/>
      <w:lvlText w:val="%5."/>
      <w:lvlJc w:val="left"/>
      <w:pPr>
        <w:ind w:left="4078" w:hanging="360"/>
      </w:pPr>
    </w:lvl>
    <w:lvl w:ilvl="5">
      <w:start w:val="1"/>
      <w:numFmt w:val="lowerRoman"/>
      <w:lvlText w:val="%6."/>
      <w:lvlJc w:val="right"/>
      <w:pPr>
        <w:ind w:left="4798" w:hanging="180"/>
      </w:pPr>
    </w:lvl>
    <w:lvl w:ilvl="6">
      <w:start w:val="1"/>
      <w:numFmt w:val="decimal"/>
      <w:lvlText w:val="%7."/>
      <w:lvlJc w:val="left"/>
      <w:pPr>
        <w:ind w:left="5518" w:hanging="360"/>
      </w:pPr>
    </w:lvl>
    <w:lvl w:ilvl="7">
      <w:start w:val="1"/>
      <w:numFmt w:val="lowerLetter"/>
      <w:lvlText w:val="%8."/>
      <w:lvlJc w:val="left"/>
      <w:pPr>
        <w:ind w:left="6238" w:hanging="360"/>
      </w:pPr>
    </w:lvl>
    <w:lvl w:ilvl="8">
      <w:start w:val="1"/>
      <w:numFmt w:val="lowerRoman"/>
      <w:lvlText w:val="%9."/>
      <w:lvlJc w:val="right"/>
      <w:pPr>
        <w:ind w:left="6958" w:hanging="180"/>
      </w:pPr>
    </w:lvl>
  </w:abstractNum>
  <w:abstractNum w:abstractNumId="2" w15:restartNumberingAfterBreak="0">
    <w:nsid w:val="14A66B99"/>
    <w:multiLevelType w:val="multilevel"/>
    <w:tmpl w:val="EC8A1B72"/>
    <w:lvl w:ilvl="0">
      <w:start w:val="5"/>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243423B7"/>
    <w:multiLevelType w:val="multilevel"/>
    <w:tmpl w:val="4600C9E6"/>
    <w:lvl w:ilvl="0">
      <w:start w:val="1"/>
      <w:numFmt w:val="lowerLetter"/>
      <w:lvlText w:val="%1)"/>
      <w:lvlJc w:val="left"/>
      <w:pPr>
        <w:ind w:left="360" w:hanging="360"/>
      </w:pPr>
      <w:rPr>
        <w:rFonts w:ascii="Arial" w:hAnsi="Arial" w:cs="Arial" w:hint="default"/>
        <w:strike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3D7861E6"/>
    <w:multiLevelType w:val="multilevel"/>
    <w:tmpl w:val="1CB47180"/>
    <w:lvl w:ilvl="0">
      <w:start w:val="1"/>
      <w:numFmt w:val="lowerLetter"/>
      <w:lvlText w:val="%1)"/>
      <w:lvlJc w:val="left"/>
      <w:pPr>
        <w:ind w:left="1198" w:hanging="360"/>
      </w:pPr>
    </w:lvl>
    <w:lvl w:ilvl="1">
      <w:start w:val="1"/>
      <w:numFmt w:val="upperRoman"/>
      <w:lvlText w:val="%2."/>
      <w:lvlJc w:val="right"/>
      <w:pPr>
        <w:ind w:left="1918" w:hanging="360"/>
      </w:pPr>
    </w:lvl>
    <w:lvl w:ilvl="2">
      <w:start w:val="1"/>
      <w:numFmt w:val="lowerRoman"/>
      <w:lvlText w:val="%3."/>
      <w:lvlJc w:val="right"/>
      <w:pPr>
        <w:ind w:left="2638" w:hanging="180"/>
      </w:pPr>
    </w:lvl>
    <w:lvl w:ilvl="3">
      <w:start w:val="1"/>
      <w:numFmt w:val="decimal"/>
      <w:lvlText w:val="%4."/>
      <w:lvlJc w:val="left"/>
      <w:pPr>
        <w:ind w:left="3358" w:hanging="360"/>
      </w:pPr>
    </w:lvl>
    <w:lvl w:ilvl="4">
      <w:start w:val="1"/>
      <w:numFmt w:val="lowerLetter"/>
      <w:lvlText w:val="%5."/>
      <w:lvlJc w:val="left"/>
      <w:pPr>
        <w:ind w:left="4078" w:hanging="360"/>
      </w:pPr>
    </w:lvl>
    <w:lvl w:ilvl="5">
      <w:start w:val="1"/>
      <w:numFmt w:val="lowerRoman"/>
      <w:lvlText w:val="%6."/>
      <w:lvlJc w:val="right"/>
      <w:pPr>
        <w:ind w:left="4798" w:hanging="180"/>
      </w:pPr>
    </w:lvl>
    <w:lvl w:ilvl="6">
      <w:start w:val="1"/>
      <w:numFmt w:val="decimal"/>
      <w:lvlText w:val="%7."/>
      <w:lvlJc w:val="left"/>
      <w:pPr>
        <w:ind w:left="5518" w:hanging="360"/>
      </w:pPr>
    </w:lvl>
    <w:lvl w:ilvl="7">
      <w:start w:val="1"/>
      <w:numFmt w:val="lowerLetter"/>
      <w:lvlText w:val="%8."/>
      <w:lvlJc w:val="left"/>
      <w:pPr>
        <w:ind w:left="6238" w:hanging="360"/>
      </w:pPr>
    </w:lvl>
    <w:lvl w:ilvl="8">
      <w:start w:val="1"/>
      <w:numFmt w:val="lowerRoman"/>
      <w:lvlText w:val="%9."/>
      <w:lvlJc w:val="right"/>
      <w:pPr>
        <w:ind w:left="6958" w:hanging="180"/>
      </w:pPr>
    </w:lvl>
  </w:abstractNum>
  <w:abstractNum w:abstractNumId="5" w15:restartNumberingAfterBreak="0">
    <w:nsid w:val="40F549D2"/>
    <w:multiLevelType w:val="multilevel"/>
    <w:tmpl w:val="5DD07A5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96F6C29"/>
    <w:multiLevelType w:val="multilevel"/>
    <w:tmpl w:val="7B748EB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8A2156D"/>
    <w:multiLevelType w:val="multilevel"/>
    <w:tmpl w:val="6A2EC720"/>
    <w:lvl w:ilvl="0">
      <w:start w:val="1"/>
      <w:numFmt w:val="upperRoman"/>
      <w:lvlText w:val="%1."/>
      <w:lvlJc w:val="right"/>
      <w:pPr>
        <w:ind w:left="720" w:hanging="360"/>
      </w:pPr>
    </w:lvl>
    <w:lvl w:ilvl="1">
      <w:start w:val="1"/>
      <w:numFmt w:val="upp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C416C36"/>
    <w:multiLevelType w:val="multilevel"/>
    <w:tmpl w:val="654C91C8"/>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5D2E74F5"/>
    <w:multiLevelType w:val="hybridMultilevel"/>
    <w:tmpl w:val="6DA4B24C"/>
    <w:lvl w:ilvl="0" w:tplc="04050013">
      <w:start w:val="1"/>
      <w:numFmt w:val="upperRoman"/>
      <w:lvlText w:val="%1."/>
      <w:lvlJc w:val="right"/>
      <w:pPr>
        <w:ind w:left="1117" w:hanging="360"/>
      </w:p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10" w15:restartNumberingAfterBreak="0">
    <w:nsid w:val="60352809"/>
    <w:multiLevelType w:val="hybridMultilevel"/>
    <w:tmpl w:val="7F7AE230"/>
    <w:lvl w:ilvl="0" w:tplc="3BA6B6AC">
      <w:start w:val="1"/>
      <w:numFmt w:val="lowerLetter"/>
      <w:lvlText w:val="%1)"/>
      <w:lvlJc w:val="left"/>
      <w:pPr>
        <w:ind w:left="720" w:hanging="360"/>
      </w:pPr>
      <w:rPr>
        <w:rFonts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F07414E"/>
    <w:multiLevelType w:val="hybridMultilevel"/>
    <w:tmpl w:val="1F54364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1411221"/>
    <w:multiLevelType w:val="hybridMultilevel"/>
    <w:tmpl w:val="42703DDE"/>
    <w:lvl w:ilvl="0" w:tplc="04050017">
      <w:start w:val="1"/>
      <w:numFmt w:val="lowerLetter"/>
      <w:lvlText w:val="%1)"/>
      <w:lvlJc w:val="left"/>
      <w:pPr>
        <w:ind w:left="1152" w:hanging="360"/>
      </w:pPr>
    </w:lvl>
    <w:lvl w:ilvl="1" w:tplc="04050019">
      <w:start w:val="1"/>
      <w:numFmt w:val="lowerLetter"/>
      <w:lvlText w:val="%2."/>
      <w:lvlJc w:val="left"/>
      <w:pPr>
        <w:ind w:left="1211" w:hanging="360"/>
      </w:pPr>
    </w:lvl>
    <w:lvl w:ilvl="2" w:tplc="0405001B">
      <w:start w:val="1"/>
      <w:numFmt w:val="lowerRoman"/>
      <w:lvlText w:val="%3."/>
      <w:lvlJc w:val="right"/>
      <w:pPr>
        <w:ind w:left="2592" w:hanging="180"/>
      </w:pPr>
    </w:lvl>
    <w:lvl w:ilvl="3" w:tplc="0405000F">
      <w:start w:val="1"/>
      <w:numFmt w:val="decimal"/>
      <w:lvlText w:val="%4."/>
      <w:lvlJc w:val="left"/>
      <w:pPr>
        <w:ind w:left="3312" w:hanging="360"/>
      </w:pPr>
    </w:lvl>
    <w:lvl w:ilvl="4" w:tplc="04050019">
      <w:start w:val="1"/>
      <w:numFmt w:val="lowerLetter"/>
      <w:lvlText w:val="%5."/>
      <w:lvlJc w:val="left"/>
      <w:pPr>
        <w:ind w:left="4032" w:hanging="360"/>
      </w:pPr>
    </w:lvl>
    <w:lvl w:ilvl="5" w:tplc="0405001B">
      <w:start w:val="1"/>
      <w:numFmt w:val="lowerRoman"/>
      <w:lvlText w:val="%6."/>
      <w:lvlJc w:val="right"/>
      <w:pPr>
        <w:ind w:left="4752" w:hanging="180"/>
      </w:pPr>
    </w:lvl>
    <w:lvl w:ilvl="6" w:tplc="0405000F">
      <w:start w:val="1"/>
      <w:numFmt w:val="decimal"/>
      <w:lvlText w:val="%7."/>
      <w:lvlJc w:val="left"/>
      <w:pPr>
        <w:ind w:left="5472" w:hanging="360"/>
      </w:pPr>
    </w:lvl>
    <w:lvl w:ilvl="7" w:tplc="04050019">
      <w:start w:val="1"/>
      <w:numFmt w:val="lowerLetter"/>
      <w:lvlText w:val="%8."/>
      <w:lvlJc w:val="left"/>
      <w:pPr>
        <w:ind w:left="6192" w:hanging="360"/>
      </w:pPr>
    </w:lvl>
    <w:lvl w:ilvl="8" w:tplc="0405001B">
      <w:start w:val="1"/>
      <w:numFmt w:val="lowerRoman"/>
      <w:lvlText w:val="%9."/>
      <w:lvlJc w:val="right"/>
      <w:pPr>
        <w:ind w:left="6912" w:hanging="180"/>
      </w:pPr>
    </w:lvl>
  </w:abstractNum>
  <w:abstractNum w:abstractNumId="13" w15:restartNumberingAfterBreak="0">
    <w:nsid w:val="71BF7B08"/>
    <w:multiLevelType w:val="hybridMultilevel"/>
    <w:tmpl w:val="975289BC"/>
    <w:lvl w:ilvl="0" w:tplc="851886E0">
      <w:start w:val="1"/>
      <w:numFmt w:val="lowerLetter"/>
      <w:lvlText w:val="%1)"/>
      <w:lvlJc w:val="left"/>
      <w:pPr>
        <w:ind w:left="785" w:hanging="360"/>
      </w:pPr>
      <w:rPr>
        <w:rFonts w:ascii="Arial" w:hAnsi="Arial" w:cs="Arial" w:hint="default"/>
        <w:strike w:val="0"/>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8"/>
  </w:num>
  <w:num w:numId="2">
    <w:abstractNumId w:val="3"/>
  </w:num>
  <w:num w:numId="3">
    <w:abstractNumId w:val="0"/>
  </w:num>
  <w:num w:numId="4">
    <w:abstractNumId w:val="6"/>
  </w:num>
  <w:num w:numId="5">
    <w:abstractNumId w:val="5"/>
  </w:num>
  <w:num w:numId="6">
    <w:abstractNumId w:val="1"/>
  </w:num>
  <w:num w:numId="7">
    <w:abstractNumId w:val="4"/>
  </w:num>
  <w:num w:numId="8">
    <w:abstractNumId w:val="7"/>
  </w:num>
  <w:num w:numId="9">
    <w:abstractNumId w:val="2"/>
  </w:num>
  <w:num w:numId="10">
    <w:abstractNumId w:val="10"/>
  </w:num>
  <w:num w:numId="11">
    <w:abstractNumId w:val="13"/>
  </w:num>
  <w:num w:numId="12">
    <w:abstractNumId w:val="9"/>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E43"/>
    <w:rsid w:val="006455A5"/>
    <w:rsid w:val="009D5E43"/>
    <w:rsid w:val="00CA62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519A40-FA63-4A15-BE52-FF7FFFFC2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D5E43"/>
    <w:pPr>
      <w:spacing w:after="0" w:line="240" w:lineRule="auto"/>
    </w:pPr>
    <w:rPr>
      <w:rFonts w:ascii="Arial" w:eastAsia="Calibri" w:hAnsi="Arial" w:cs="Times New Roman"/>
    </w:rPr>
  </w:style>
  <w:style w:type="paragraph" w:styleId="Nadpis2">
    <w:name w:val="heading 2"/>
    <w:basedOn w:val="Normln"/>
    <w:next w:val="Normln"/>
    <w:link w:val="Nadpis2Char"/>
    <w:uiPriority w:val="9"/>
    <w:unhideWhenUsed/>
    <w:qFormat/>
    <w:rsid w:val="009D5E43"/>
    <w:pPr>
      <w:keepNext/>
      <w:jc w:val="both"/>
      <w:outlineLvl w:val="1"/>
    </w:pPr>
    <w:rPr>
      <w:rFonts w:eastAsia="Times New Roman"/>
      <w:b/>
      <w:bCs/>
      <w:iCs/>
      <w:sz w:val="28"/>
      <w:szCs w:val="28"/>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qFormat/>
    <w:rsid w:val="009D5E43"/>
    <w:rPr>
      <w:rFonts w:ascii="Arial" w:eastAsia="Times New Roman" w:hAnsi="Arial" w:cs="Times New Roman"/>
      <w:b/>
      <w:bCs/>
      <w:iCs/>
      <w:sz w:val="28"/>
      <w:szCs w:val="28"/>
      <w:lang w:val="x-none"/>
    </w:rPr>
  </w:style>
  <w:style w:type="paragraph" w:styleId="Odstavecseseznamem">
    <w:name w:val="List Paragraph"/>
    <w:aliases w:val="Nad,List Paragraph"/>
    <w:basedOn w:val="Normln"/>
    <w:link w:val="OdstavecseseznamemChar"/>
    <w:uiPriority w:val="34"/>
    <w:qFormat/>
    <w:rsid w:val="009D5E43"/>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qFormat/>
    <w:locked/>
    <w:rsid w:val="009D5E43"/>
    <w:rPr>
      <w:rFonts w:ascii="Times New Roman" w:eastAsia="Times New Roman" w:hAnsi="Times New Roman" w:cs="Times New Roman"/>
      <w:sz w:val="24"/>
      <w:szCs w:val="24"/>
      <w:lang w:val="x-none" w:eastAsia="x-none"/>
    </w:rPr>
  </w:style>
  <w:style w:type="character" w:styleId="Hypertextovodkaz">
    <w:name w:val="Hyperlink"/>
    <w:uiPriority w:val="99"/>
    <w:unhideWhenUsed/>
    <w:rsid w:val="009D5E43"/>
    <w:rPr>
      <w:color w:val="0000FF"/>
      <w:u w:val="single"/>
    </w:rPr>
  </w:style>
  <w:style w:type="paragraph" w:customStyle="1" w:styleId="Podnadpis1">
    <w:name w:val="Podnadpis1"/>
    <w:uiPriority w:val="99"/>
    <w:qFormat/>
    <w:rsid w:val="009D5E43"/>
    <w:pPr>
      <w:spacing w:before="72" w:after="72" w:line="240" w:lineRule="auto"/>
      <w:jc w:val="center"/>
    </w:pPr>
    <w:rPr>
      <w:rFonts w:ascii="Arial" w:eastAsia="Times New Roman" w:hAnsi="Arial" w:cs="Times New Roman"/>
      <w:b/>
      <w:color w:val="000000"/>
      <w:sz w:val="26"/>
      <w:szCs w:val="20"/>
      <w:lang w:eastAsia="cs-CZ"/>
    </w:rPr>
  </w:style>
  <w:style w:type="paragraph" w:customStyle="1" w:styleId="Odstavecmj">
    <w:name w:val="Odstavec můj"/>
    <w:basedOn w:val="Normln"/>
    <w:uiPriority w:val="99"/>
    <w:qFormat/>
    <w:rsid w:val="009D5E43"/>
    <w:pPr>
      <w:spacing w:after="120"/>
      <w:ind w:firstLine="709"/>
      <w:jc w:val="both"/>
    </w:pPr>
    <w:rPr>
      <w:rFonts w:ascii="Times New Roman" w:eastAsia="Times New Roman" w:hAnsi="Times New Roman"/>
      <w:sz w:val="24"/>
      <w:szCs w:val="20"/>
      <w:lang w:eastAsia="cs-CZ"/>
    </w:rPr>
  </w:style>
  <w:style w:type="paragraph" w:customStyle="1" w:styleId="Znaeka">
    <w:name w:val="Znaeka"/>
    <w:uiPriority w:val="99"/>
    <w:qFormat/>
    <w:rsid w:val="009D5E43"/>
    <w:pPr>
      <w:spacing w:after="141" w:line="240" w:lineRule="auto"/>
      <w:ind w:left="838"/>
      <w:jc w:val="both"/>
    </w:pPr>
    <w:rPr>
      <w:rFonts w:ascii="Times New Roman" w:eastAsia="Times New Roman" w:hAnsi="Times New Roman" w:cs="Times New Roman"/>
      <w:color w:val="000000"/>
      <w:sz w:val="24"/>
      <w:szCs w:val="20"/>
      <w:lang w:eastAsia="cs-CZ"/>
    </w:rPr>
  </w:style>
  <w:style w:type="paragraph" w:customStyle="1" w:styleId="Default">
    <w:name w:val="Default"/>
    <w:qFormat/>
    <w:rsid w:val="009D5E43"/>
    <w:pPr>
      <w:autoSpaceDE w:val="0"/>
      <w:autoSpaceDN w:val="0"/>
      <w:adjustRightInd w:val="0"/>
      <w:spacing w:after="0" w:line="240" w:lineRule="auto"/>
    </w:pPr>
    <w:rPr>
      <w:rFonts w:ascii="EUAlbertina" w:eastAsia="Calibri"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ata.europa.eu/doi/10.2873/4104"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3145</Words>
  <Characters>18562</Characters>
  <Application>Microsoft Office Word</Application>
  <DocSecurity>0</DocSecurity>
  <Lines>154</Lines>
  <Paragraphs>43</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21664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2022-12-09T07:59:00Z</dcterms:created>
  <dcterms:modified xsi:type="dcterms:W3CDTF">2022-12-09T07:59:00Z</dcterms:modified>
</cp:coreProperties>
</file>