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A78C" w14:textId="77777777" w:rsidR="00D3291B" w:rsidRPr="00E37AD7" w:rsidRDefault="00D3291B" w:rsidP="00D3291B">
      <w:pPr>
        <w:pStyle w:val="Podnadpis1"/>
        <w:spacing w:after="120"/>
        <w:rPr>
          <w:rFonts w:cs="Arial"/>
          <w:color w:val="auto"/>
          <w:sz w:val="32"/>
        </w:rPr>
      </w:pPr>
      <w:r w:rsidRPr="00E37AD7">
        <w:rPr>
          <w:rFonts w:cs="Arial"/>
          <w:color w:val="auto"/>
          <w:sz w:val="32"/>
        </w:rPr>
        <w:t>Zásady,</w:t>
      </w:r>
    </w:p>
    <w:p w14:paraId="76D38F48" w14:textId="77777777" w:rsidR="00D3291B" w:rsidRPr="00E37AD7" w:rsidRDefault="00D3291B" w:rsidP="00D3291B">
      <w:pPr>
        <w:pStyle w:val="Podnadpis1"/>
        <w:spacing w:after="120"/>
        <w:rPr>
          <w:color w:val="auto"/>
        </w:rPr>
      </w:pPr>
      <w:r w:rsidRPr="00E37AD7">
        <w:rPr>
          <w:rFonts w:cs="Arial"/>
          <w:color w:val="auto"/>
          <w:sz w:val="32"/>
        </w:rPr>
        <w:t>kterými se stanovují podmínky pro poskytování dotací</w:t>
      </w:r>
    </w:p>
    <w:p w14:paraId="2D2CACE0" w14:textId="77777777" w:rsidR="00D3291B" w:rsidRPr="00E37AD7" w:rsidRDefault="00D3291B" w:rsidP="00D3291B">
      <w:pPr>
        <w:pStyle w:val="Podnadpis1"/>
        <w:spacing w:after="120"/>
        <w:rPr>
          <w:color w:val="auto"/>
        </w:rPr>
      </w:pPr>
      <w:r w:rsidRPr="00E37AD7">
        <w:rPr>
          <w:rFonts w:cs="Arial"/>
          <w:color w:val="auto"/>
          <w:sz w:val="32"/>
        </w:rPr>
        <w:t>pro rok 2024</w:t>
      </w:r>
    </w:p>
    <w:p w14:paraId="25F0E09F" w14:textId="77777777" w:rsidR="00D3291B" w:rsidRPr="00E37AD7" w:rsidRDefault="00D3291B" w:rsidP="00D3291B">
      <w:pPr>
        <w:pStyle w:val="Podnadpis1"/>
        <w:spacing w:after="120"/>
        <w:rPr>
          <w:color w:val="auto"/>
        </w:rPr>
      </w:pPr>
      <w:r w:rsidRPr="00E37AD7">
        <w:rPr>
          <w:rFonts w:cs="Arial"/>
          <w:color w:val="auto"/>
          <w:sz w:val="32"/>
        </w:rPr>
        <w:t>na základě § 1, § 2 a § 2d zákona č. 252/1997 Sb.,</w:t>
      </w:r>
    </w:p>
    <w:p w14:paraId="24E60609" w14:textId="77777777" w:rsidR="00D3291B" w:rsidRPr="00E37AD7" w:rsidRDefault="00D3291B" w:rsidP="00D3291B">
      <w:pPr>
        <w:pStyle w:val="Podnadpis1"/>
        <w:spacing w:after="120"/>
        <w:rPr>
          <w:rFonts w:cs="Arial"/>
          <w:color w:val="auto"/>
          <w:sz w:val="32"/>
        </w:rPr>
      </w:pPr>
      <w:r w:rsidRPr="00E37AD7">
        <w:rPr>
          <w:rFonts w:cs="Arial"/>
          <w:color w:val="auto"/>
          <w:sz w:val="32"/>
        </w:rPr>
        <w:t>o zemědělství, ve znění pozdějších předpisů</w:t>
      </w:r>
    </w:p>
    <w:p w14:paraId="27824BAE" w14:textId="77777777" w:rsidR="00D3291B" w:rsidRPr="00E37AD7" w:rsidRDefault="00D3291B" w:rsidP="00D3291B">
      <w:pPr>
        <w:pStyle w:val="Podnadpis1"/>
        <w:spacing w:after="120"/>
        <w:rPr>
          <w:color w:val="auto"/>
          <w:sz w:val="28"/>
          <w:szCs w:val="28"/>
        </w:rPr>
      </w:pPr>
      <w:bookmarkStart w:id="0" w:name="_Hlk149112498"/>
      <w:r w:rsidRPr="00E37AD7">
        <w:rPr>
          <w:rFonts w:cs="Arial"/>
          <w:color w:val="auto"/>
          <w:sz w:val="28"/>
          <w:szCs w:val="28"/>
        </w:rPr>
        <w:t xml:space="preserve">č. j. </w:t>
      </w:r>
      <w:r w:rsidRPr="00E37AD7">
        <w:rPr>
          <w:rFonts w:cs="Arial"/>
          <w:bCs/>
          <w:color w:val="auto"/>
          <w:sz w:val="28"/>
          <w:szCs w:val="28"/>
        </w:rPr>
        <w:t>MZE-61145/2023-13111</w:t>
      </w:r>
    </w:p>
    <w:p w14:paraId="4C9E25D5" w14:textId="77777777" w:rsidR="00D3291B" w:rsidRPr="00E37AD7" w:rsidRDefault="00D3291B" w:rsidP="00D3291B">
      <w:pPr>
        <w:pStyle w:val="Nadpis2"/>
        <w:spacing w:before="240"/>
        <w:jc w:val="center"/>
      </w:pPr>
      <w:bookmarkStart w:id="1" w:name="_Toc152582445"/>
      <w:bookmarkEnd w:id="0"/>
      <w:r w:rsidRPr="00E37AD7">
        <w:t>Část A</w:t>
      </w:r>
      <w:bookmarkEnd w:id="1"/>
    </w:p>
    <w:p w14:paraId="6A1E2B20" w14:textId="77777777" w:rsidR="00D3291B" w:rsidRPr="00E37AD7" w:rsidRDefault="00D3291B" w:rsidP="00D3291B">
      <w:pPr>
        <w:pStyle w:val="Nadpis2"/>
        <w:spacing w:after="240"/>
        <w:jc w:val="center"/>
      </w:pPr>
      <w:bookmarkStart w:id="2" w:name="_Toc152582446"/>
      <w:r w:rsidRPr="00E37AD7">
        <w:t>Obecné podmínky</w:t>
      </w:r>
      <w:bookmarkEnd w:id="2"/>
    </w:p>
    <w:p w14:paraId="22696728" w14:textId="77777777" w:rsidR="00D3291B" w:rsidRPr="00E37AD7" w:rsidRDefault="00D3291B" w:rsidP="00D3291B">
      <w:pPr>
        <w:pStyle w:val="Odstavecmj"/>
        <w:spacing w:before="120" w:after="60"/>
        <w:ind w:firstLine="0"/>
        <w:rPr>
          <w:rFonts w:ascii="Arial" w:hAnsi="Arial" w:cs="Arial"/>
          <w:szCs w:val="24"/>
        </w:rPr>
      </w:pPr>
      <w:r w:rsidRPr="00E37AD7">
        <w:rPr>
          <w:rFonts w:ascii="Arial" w:hAnsi="Arial" w:cs="Arial"/>
          <w:szCs w:val="24"/>
        </w:rPr>
        <w:t>Ministerstvo zemědělství (dále jen „MZe“) na základě § 1, § 2 a § 2d zákona č. 252/1997 Sb., o zemědělství, ve znění pozdějších předpisů, vydává Zásady pro rok 2024, kterými se stanovují podmínky pro poskytování dotací financovaných výhradně z národních zdrojů (dále jen „Zásady“), a to v návaznosti na přímo použitelné předpisy Evropské unie:</w:t>
      </w:r>
    </w:p>
    <w:p w14:paraId="40A73F06"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Hlava VII Kapitola 1 oddíl 2 Smlouvy o fungování Evropské unie, </w:t>
      </w:r>
    </w:p>
    <w:p w14:paraId="6B29ACAF"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Nařízení Komise (EU) 2022/2472, kterým se v souladu s čl. 107 a 108 Smlouvy o fungování Evropské unie prohlašují určité kategorie podpory v odvětvích zemědělství a lesnictví a ve venkovských oblastech za slučitelné s vnitřním trhem (dále jen „nařízení Komise (EU) 2022/2472“), </w:t>
      </w:r>
    </w:p>
    <w:p w14:paraId="38D297CE" w14:textId="77777777" w:rsidR="00D3291B" w:rsidRPr="00E37AD7" w:rsidRDefault="00D3291B" w:rsidP="00D3291B">
      <w:pPr>
        <w:autoSpaceDE w:val="0"/>
        <w:autoSpaceDN w:val="0"/>
        <w:adjustRightInd w:val="0"/>
        <w:spacing w:after="120"/>
        <w:jc w:val="both"/>
        <w:rPr>
          <w:rFonts w:cs="Arial"/>
          <w:sz w:val="24"/>
          <w:szCs w:val="24"/>
        </w:rPr>
      </w:pPr>
      <w:r w:rsidRPr="00E37AD7">
        <w:rPr>
          <w:rFonts w:cs="Arial"/>
          <w:sz w:val="24"/>
          <w:szCs w:val="24"/>
        </w:rPr>
        <w:t>Nařízení Komise (EU) 2022/2473, kterým se určité kategorie podpory pro podniky působící v oblasti produkce, zpracování a uvádění produktů rybolovu a akvakultury na trh prohlašují za slučitelné s vnitřním trhem podle článků 107 a 108 SFEU (dále jen „nařízení Komise (EU) 2022/2473“),</w:t>
      </w:r>
    </w:p>
    <w:p w14:paraId="021698C6"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Nařízení Komise (EU) č. 651/2014, kterým se v souladu s články 107 a 108 Smlouvy o fungování Evropské unie prohlašují určité kategorie podpory za slučitelné s vnitřním trhem (dále jen „nařízení Komise (EU) č. 651/2014“), </w:t>
      </w:r>
    </w:p>
    <w:p w14:paraId="37EF9CBA"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Nařízení Komise (EU) č. 1407/2013, o použití článků 107 a 108 Smlouvy o fungování Evropské unie na podporu de minimis (dále jen „nařízení Komise (EU) č. 1407/2013“), </w:t>
      </w:r>
    </w:p>
    <w:p w14:paraId="7E5C5945"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Nařízení Komise (EU) č. 1408/2013, o použití článků 107 a 108 Smlouvy o fungování Evropské unie na podporu de minimis v odvětví zemědělství (dále jen „nařízení Komise (EU) č. 1408/2013“), </w:t>
      </w:r>
    </w:p>
    <w:p w14:paraId="37D9AAC5"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Nařízení Komise (EU) č. 717/2014, o použití článků 107 a 108 Smlouvy o fungování Evropské unie na podporu de minimis v odvětví rybolovu a akvakultury (dále jen „nařízení Komise (EU) č. 717/2014“), </w:t>
      </w:r>
    </w:p>
    <w:p w14:paraId="34792767"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Pokyny ke státní podpoře v odvětvích zemědělství a lesnictví a ve venkovských oblastech (2022/C 485/01) (dále jen „AGRI pokyny“), </w:t>
      </w:r>
    </w:p>
    <w:p w14:paraId="26E95A1C"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Pokyny ke státní podpoře v odvětví rybolovu a akvakultury </w:t>
      </w:r>
      <w:bookmarkStart w:id="3" w:name="_Hlk136335427"/>
      <w:r w:rsidRPr="00E37AD7">
        <w:rPr>
          <w:rFonts w:ascii="Arial" w:hAnsi="Arial" w:cs="Arial"/>
          <w:color w:val="auto"/>
        </w:rPr>
        <w:t xml:space="preserve">(2023/C 107/01) </w:t>
      </w:r>
      <w:bookmarkEnd w:id="3"/>
      <w:r w:rsidRPr="00E37AD7">
        <w:rPr>
          <w:rFonts w:ascii="Arial" w:hAnsi="Arial" w:cs="Arial"/>
          <w:color w:val="auto"/>
        </w:rPr>
        <w:t xml:space="preserve">(dále jen „FISH pokyny“), </w:t>
      </w:r>
    </w:p>
    <w:p w14:paraId="6132A6C8"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t xml:space="preserve">Při poskytování dotací se postupuje v souladu s Pokyny ke státní podpoře v odvětvích zemědělství a lesnictví a ve venkovských oblastech (2022/C 485/01), bodu 647 a 648, </w:t>
      </w:r>
    </w:p>
    <w:p w14:paraId="6F3532DA" w14:textId="77777777" w:rsidR="00D3291B" w:rsidRPr="00E37AD7" w:rsidRDefault="00D3291B" w:rsidP="00D3291B">
      <w:pPr>
        <w:pStyle w:val="Default"/>
        <w:spacing w:after="120"/>
        <w:jc w:val="both"/>
        <w:rPr>
          <w:rFonts w:ascii="Arial" w:hAnsi="Arial" w:cs="Arial"/>
          <w:color w:val="auto"/>
        </w:rPr>
      </w:pPr>
      <w:r w:rsidRPr="00E37AD7">
        <w:rPr>
          <w:rFonts w:ascii="Arial" w:hAnsi="Arial" w:cs="Arial"/>
          <w:color w:val="auto"/>
        </w:rPr>
        <w:lastRenderedPageBreak/>
        <w:t xml:space="preserve">Nařízení Evropského parlamentu a Rady (EU) č. 1379/2013 ze dne 11. prosince 2013 o společné organizaci trhů s produkty rybolovu a akvakultury a o změně nařízení Rady (ES) č. 1184/2006 a (ES) č. 1224/2009 a o zrušení nařízení Rady (ES) č. 104/2000, </w:t>
      </w:r>
    </w:p>
    <w:p w14:paraId="66ECBA1F" w14:textId="77777777" w:rsidR="00D3291B" w:rsidRPr="00E37AD7" w:rsidRDefault="00D3291B" w:rsidP="00D3291B">
      <w:pPr>
        <w:spacing w:after="120"/>
        <w:jc w:val="both"/>
        <w:rPr>
          <w:rFonts w:cs="Arial"/>
          <w:sz w:val="24"/>
          <w:szCs w:val="24"/>
        </w:rPr>
      </w:pPr>
      <w:r w:rsidRPr="00E37AD7">
        <w:rPr>
          <w:rFonts w:cs="Arial"/>
          <w:sz w:val="24"/>
          <w:szCs w:val="24"/>
        </w:rPr>
        <w:t xml:space="preserve">Nařízení Evropského parlamentu a Rady (EU) 2021/1139 ze dne 7. července 2021, kterým se zřizuje Evropský námořní, rybářský a akvakulturní fond a mění nařízení (EU) 2017/1004. </w:t>
      </w:r>
    </w:p>
    <w:p w14:paraId="22AD2AE1" w14:textId="77777777" w:rsidR="00D3291B" w:rsidRPr="00E37AD7" w:rsidRDefault="00D3291B" w:rsidP="00D3291B">
      <w:pPr>
        <w:pStyle w:val="Odstavecseseznamem"/>
        <w:numPr>
          <w:ilvl w:val="0"/>
          <w:numId w:val="5"/>
        </w:numPr>
        <w:spacing w:after="240"/>
        <w:ind w:left="1077" w:hanging="357"/>
        <w:contextualSpacing w:val="0"/>
        <w:jc w:val="center"/>
        <w:rPr>
          <w:rFonts w:ascii="Arial" w:hAnsi="Arial" w:cs="Arial"/>
        </w:rPr>
      </w:pPr>
      <w:r w:rsidRPr="00E37AD7">
        <w:rPr>
          <w:rFonts w:ascii="Arial" w:hAnsi="Arial" w:cs="Arial"/>
        </w:rPr>
        <w:br w:type="page"/>
      </w:r>
      <w:r w:rsidRPr="00E37AD7">
        <w:rPr>
          <w:rFonts w:ascii="Arial" w:hAnsi="Arial" w:cs="Arial"/>
          <w:b/>
        </w:rPr>
        <w:lastRenderedPageBreak/>
        <w:t>Žádost o dotaci</w:t>
      </w:r>
    </w:p>
    <w:p w14:paraId="6852B7A0" w14:textId="77777777" w:rsidR="00D3291B" w:rsidRPr="00E37AD7" w:rsidRDefault="00D3291B" w:rsidP="00D3291B">
      <w:pPr>
        <w:pStyle w:val="Odstavecseseznamem"/>
        <w:numPr>
          <w:ilvl w:val="0"/>
          <w:numId w:val="6"/>
        </w:numPr>
        <w:spacing w:before="120" w:after="120"/>
        <w:ind w:left="397" w:hanging="397"/>
        <w:contextualSpacing w:val="0"/>
        <w:jc w:val="both"/>
        <w:rPr>
          <w:rFonts w:ascii="Arial" w:hAnsi="Arial" w:cs="Arial"/>
          <w:strike/>
        </w:rPr>
      </w:pPr>
      <w:r w:rsidRPr="00E37AD7">
        <w:rPr>
          <w:rFonts w:ascii="Arial" w:hAnsi="Arial" w:cs="Arial"/>
        </w:rPr>
        <w:t xml:space="preserve">Žádost o dotaci </w:t>
      </w:r>
      <w:r w:rsidRPr="00E37AD7">
        <w:rPr>
          <w:rFonts w:ascii="Arial" w:hAnsi="Arial" w:cs="Arial"/>
          <w:lang w:val="cs-CZ"/>
        </w:rPr>
        <w:t xml:space="preserve">včetně příloh </w:t>
      </w:r>
      <w:r w:rsidRPr="00E37AD7">
        <w:rPr>
          <w:rFonts w:ascii="Arial" w:hAnsi="Arial" w:cs="Arial"/>
        </w:rPr>
        <w:t>podává osoba (dále jen „žadatel“), která splňuje podmínky stanovené u jednotlivých programů, Státnímu zemědělskému intervenčnímu fondu (dále jen „Fond“) na jím vydaném formuláři prostřednictvím Portálu farmáře Fondu.</w:t>
      </w:r>
    </w:p>
    <w:p w14:paraId="485B76AD" w14:textId="77777777" w:rsidR="00D3291B" w:rsidRPr="00E37AD7" w:rsidRDefault="00D3291B" w:rsidP="00D3291B">
      <w:pPr>
        <w:pStyle w:val="Znaeka"/>
        <w:numPr>
          <w:ilvl w:val="0"/>
          <w:numId w:val="6"/>
        </w:numPr>
        <w:spacing w:before="120" w:after="120"/>
        <w:ind w:left="397" w:hanging="397"/>
        <w:rPr>
          <w:rFonts w:ascii="Arial" w:hAnsi="Arial" w:cs="Arial"/>
          <w:color w:val="auto"/>
          <w:szCs w:val="24"/>
        </w:rPr>
      </w:pPr>
      <w:r w:rsidRPr="00E37AD7">
        <w:rPr>
          <w:rFonts w:ascii="Arial" w:hAnsi="Arial" w:cs="Arial"/>
          <w:color w:val="auto"/>
          <w:szCs w:val="24"/>
        </w:rPr>
        <w:t>Žadatel podá žádost o dotaci v termínu určeném pro příslušný dotační program. Připadne-li konec termínu na sobotu, neděli nebo svátek, je posledním dnem lhůty nejbližší následující pracovní den.</w:t>
      </w:r>
    </w:p>
    <w:p w14:paraId="77E4A6DB" w14:textId="77777777" w:rsidR="00D3291B" w:rsidRPr="00E37AD7" w:rsidRDefault="00D3291B" w:rsidP="00D3291B">
      <w:pPr>
        <w:pStyle w:val="Znaeka"/>
        <w:numPr>
          <w:ilvl w:val="0"/>
          <w:numId w:val="6"/>
        </w:numPr>
        <w:spacing w:before="120" w:after="0"/>
        <w:ind w:left="397" w:hanging="397"/>
        <w:rPr>
          <w:rFonts w:ascii="Arial" w:hAnsi="Arial" w:cs="Arial"/>
          <w:color w:val="auto"/>
          <w:szCs w:val="24"/>
        </w:rPr>
      </w:pPr>
      <w:r w:rsidRPr="00E37AD7">
        <w:rPr>
          <w:rFonts w:ascii="Arial" w:hAnsi="Arial" w:cs="Arial"/>
          <w:color w:val="auto"/>
          <w:szCs w:val="24"/>
        </w:rPr>
        <w:t>Žádost o dotaci se podává</w:t>
      </w:r>
      <w:r w:rsidRPr="00E37AD7">
        <w:rPr>
          <w:rFonts w:ascii="Arial" w:hAnsi="Arial" w:cs="Arial"/>
          <w:i/>
          <w:color w:val="auto"/>
          <w:szCs w:val="24"/>
        </w:rPr>
        <w:t xml:space="preserve"> </w:t>
      </w:r>
      <w:r w:rsidRPr="00E37AD7">
        <w:rPr>
          <w:rFonts w:ascii="Arial" w:hAnsi="Arial" w:cs="Arial"/>
          <w:color w:val="auto"/>
          <w:szCs w:val="24"/>
        </w:rPr>
        <w:t>samostatně za každý dotační program/podprogram, pokud není u jednotlivých programů uvedeno jinak.</w:t>
      </w:r>
    </w:p>
    <w:p w14:paraId="19E221DD" w14:textId="77777777" w:rsidR="00D3291B" w:rsidRPr="00E37AD7" w:rsidRDefault="00D3291B" w:rsidP="00D3291B">
      <w:pPr>
        <w:pStyle w:val="Znaeka"/>
        <w:numPr>
          <w:ilvl w:val="0"/>
          <w:numId w:val="6"/>
        </w:numPr>
        <w:spacing w:before="120" w:after="120"/>
        <w:ind w:left="397" w:hanging="397"/>
        <w:rPr>
          <w:rFonts w:ascii="Arial" w:hAnsi="Arial" w:cs="Arial"/>
          <w:color w:val="auto"/>
          <w:szCs w:val="24"/>
          <w:lang w:val="x-none" w:eastAsia="x-none"/>
        </w:rPr>
      </w:pPr>
      <w:r w:rsidRPr="00E37AD7">
        <w:rPr>
          <w:rFonts w:ascii="Arial" w:hAnsi="Arial" w:cs="Arial"/>
          <w:color w:val="auto"/>
          <w:szCs w:val="24"/>
          <w:lang w:val="x-none" w:eastAsia="x-none"/>
        </w:rPr>
        <w:t>U dotačních programů zakládajících veřejnou podporu ve smyslu článku 107 odst.1 Smlouvy o fungování EU, u kterých je dána povinnost plnit motivační účinek (dále jen „dotační programy s motivačním účinkem“), se žádost o dotaci podává před zahájením činnosti nebo zahájením práce na projektu, v souladu s</w:t>
      </w:r>
      <w:r w:rsidRPr="00E37AD7">
        <w:rPr>
          <w:rFonts w:ascii="Arial" w:hAnsi="Arial" w:cs="Arial"/>
          <w:color w:val="auto"/>
          <w:szCs w:val="24"/>
          <w:lang w:eastAsia="x-none"/>
        </w:rPr>
        <w:t> </w:t>
      </w:r>
      <w:r w:rsidRPr="00E37AD7">
        <w:rPr>
          <w:rFonts w:ascii="Arial" w:hAnsi="Arial" w:cs="Arial"/>
          <w:color w:val="auto"/>
          <w:szCs w:val="24"/>
          <w:lang w:val="x-none" w:eastAsia="x-none"/>
        </w:rPr>
        <w:t xml:space="preserve">čl. 6 nařízení Komise (EU) 2022/2472, čl. 6 nařízení Komise (EU) </w:t>
      </w:r>
      <w:r w:rsidRPr="00E37AD7">
        <w:rPr>
          <w:rFonts w:ascii="Arial" w:hAnsi="Arial" w:cs="Arial"/>
          <w:color w:val="auto"/>
          <w:szCs w:val="24"/>
          <w:lang w:eastAsia="x-none"/>
        </w:rPr>
        <w:t>2022/2473,</w:t>
      </w:r>
      <w:r w:rsidRPr="00E37AD7">
        <w:rPr>
          <w:rFonts w:ascii="Arial" w:hAnsi="Arial" w:cs="Arial"/>
          <w:color w:val="auto"/>
          <w:szCs w:val="24"/>
          <w:lang w:val="x-none" w:eastAsia="x-none"/>
        </w:rPr>
        <w:t xml:space="preserve"> </w:t>
      </w:r>
      <w:r w:rsidRPr="00E37AD7">
        <w:rPr>
          <w:rFonts w:ascii="Arial" w:hAnsi="Arial" w:cs="Arial"/>
          <w:color w:val="auto"/>
          <w:szCs w:val="24"/>
          <w:lang w:eastAsia="x-none"/>
        </w:rPr>
        <w:t xml:space="preserve">čl. 6 nařízení komise (EU) č. 651/2014 </w:t>
      </w:r>
      <w:r w:rsidRPr="00E37AD7">
        <w:rPr>
          <w:rFonts w:ascii="Arial" w:hAnsi="Arial" w:cs="Arial"/>
          <w:color w:val="auto"/>
          <w:szCs w:val="24"/>
          <w:lang w:val="x-none" w:eastAsia="x-none"/>
        </w:rPr>
        <w:t>nebo částí I oddílem 3.1.2 kapitoly 3 AGRI pokynů nebo částí I oddílem 3.1.2. FISH pokynů.</w:t>
      </w:r>
    </w:p>
    <w:p w14:paraId="1339C9F8" w14:textId="77777777" w:rsidR="00D3291B" w:rsidRPr="00E37AD7" w:rsidRDefault="00D3291B" w:rsidP="00D3291B">
      <w:pPr>
        <w:pStyle w:val="Znaeka"/>
        <w:numPr>
          <w:ilvl w:val="0"/>
          <w:numId w:val="6"/>
        </w:numPr>
        <w:spacing w:before="120" w:after="120"/>
        <w:ind w:left="397" w:hanging="397"/>
        <w:rPr>
          <w:rFonts w:ascii="Arial" w:hAnsi="Arial" w:cs="Arial"/>
          <w:color w:val="auto"/>
          <w:szCs w:val="24"/>
        </w:rPr>
      </w:pPr>
      <w:r w:rsidRPr="00E37AD7">
        <w:rPr>
          <w:rFonts w:ascii="Arial" w:hAnsi="Arial" w:cs="Arial"/>
          <w:color w:val="auto"/>
          <w:szCs w:val="24"/>
        </w:rPr>
        <w:t>Není-li u příslušného dotačního programu uvedeno jinak, podávají se veškeré povinné přílohy k žádosti o dotaci prostřednictvím Portálu farmáře Fondu. Originály veškerých povinných příloh k žádosti o dotaci jsou uchovávány žadatelem k případné kontrole.</w:t>
      </w:r>
    </w:p>
    <w:p w14:paraId="2B05E8CA"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r w:rsidRPr="00E37AD7">
        <w:rPr>
          <w:rFonts w:ascii="Arial" w:hAnsi="Arial" w:cs="Arial"/>
          <w:b/>
        </w:rPr>
        <w:t>Podmínky poskytnutí dotace</w:t>
      </w:r>
    </w:p>
    <w:p w14:paraId="1CC061FB"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Dotaci lze poskytnout na základě podané žádosti o dotaci pouze žadateli, který splňuje obecné podmínky a podmínky pro příslušný dotační program.</w:t>
      </w:r>
    </w:p>
    <w:p w14:paraId="1B7B906F" w14:textId="77777777" w:rsidR="00D3291B" w:rsidRPr="00E37AD7" w:rsidRDefault="00D3291B" w:rsidP="00D3291B">
      <w:pPr>
        <w:pStyle w:val="Znaeka"/>
        <w:numPr>
          <w:ilvl w:val="0"/>
          <w:numId w:val="14"/>
        </w:numPr>
        <w:spacing w:before="120" w:after="0"/>
        <w:ind w:left="397" w:hanging="397"/>
        <w:rPr>
          <w:rFonts w:ascii="Arial" w:hAnsi="Arial" w:cs="Arial"/>
          <w:strike/>
          <w:color w:val="auto"/>
          <w:szCs w:val="24"/>
        </w:rPr>
      </w:pPr>
      <w:r w:rsidRPr="00E37AD7">
        <w:rPr>
          <w:rFonts w:ascii="Arial" w:hAnsi="Arial" w:cs="Arial"/>
          <w:color w:val="auto"/>
          <w:szCs w:val="24"/>
        </w:rPr>
        <w:t xml:space="preserve">Žadatelem </w:t>
      </w:r>
      <w:r w:rsidRPr="00E37AD7">
        <w:rPr>
          <w:rFonts w:ascii="Arial" w:eastAsia="Calibri" w:hAnsi="Arial" w:cs="Arial"/>
          <w:color w:val="auto"/>
          <w:szCs w:val="24"/>
          <w:lang w:eastAsia="en-US"/>
        </w:rPr>
        <w:t>nemůže b</w:t>
      </w:r>
      <w:r w:rsidRPr="00E37AD7">
        <w:rPr>
          <w:rFonts w:ascii="Arial" w:hAnsi="Arial" w:cs="Arial"/>
          <w:color w:val="auto"/>
          <w:szCs w:val="24"/>
        </w:rPr>
        <w:t>ýt subjekt, který nemá trvalý pobyt, případně sídlo na území České republiky nebo neprokáže, že oprávněně podniká na území České republiky.</w:t>
      </w:r>
    </w:p>
    <w:p w14:paraId="6E60B947"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Žadatelem nemůže být společnost vzniklá podle § 2716 zákona č. 89/2012 Sb., občanského zákoníku, ve znění pozdějších předpisů, a organizační složka státu. Dále žadatelem nemohou být subjekty v působnosti Ministerstva obrany, Ministerstva průmyslu a obchodu, Ministerstva životního prostředí, Ministerstva vnitra, Ministerstva pro místní rozvoj, Ministerstva školství, mládeže a tělovýchovy, kromě níže uvedených: Česká zemědělská univerzita v Praze, Jihočeská univerzita v Českých Budějovicích, Mendelova univerzita v Brně, Veterinární univerzita Brno, Krajské školní hospodářství České Budějovice, Střední rybářská škola a Vyšší odborná škola vodního hospodářství a ekologie, Vodňany, veřejné výzkumné ústavy, veřejné organizace zabývající se správou veřejného majetku, střední školy, školní podniky, školní statky a školní hospodářství (popř. subjekt, do jehož organizační struktury jsou začleněny) poskytující praktickou výuku žákům ve skupině oborů – 29 Potravinářství a potravinářská chemie, 41 Zemědělství a lesnictví a 43 Veterinářství a veterinární prevence, pokud není u jednotlivých programů uvedeno jinak.</w:t>
      </w:r>
    </w:p>
    <w:p w14:paraId="0FB0D986"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 xml:space="preserve">Žadatelem nemůže být subjekt, který obdržel v příslušném roce na účel a na předmět, pro který je požadována dotace, úvěr s podporou Podpůrného a garančního rolnického a lesnického fondu, a. s. (dále jen „PGRLF“) nebo dotaci </w:t>
      </w:r>
      <w:r w:rsidRPr="00E37AD7">
        <w:rPr>
          <w:rFonts w:ascii="Arial" w:hAnsi="Arial" w:cs="Arial"/>
          <w:color w:val="auto"/>
          <w:szCs w:val="24"/>
        </w:rPr>
        <w:lastRenderedPageBreak/>
        <w:t>či příspěvek z rozpočtu kapitoly MZe, dotaci z jiných rozpočtových kapitol státního rozpočtu, dotaci z rozpočtu státního fondu nebo dotaci z rozpočtu územního samosprávného celku nebo fondů EU, pokud není u jednotlivých programů uvedeno jinak.</w:t>
      </w:r>
    </w:p>
    <w:p w14:paraId="0E959F8E"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Na žadatele nesmí být od data podání žádosti o dotaci vydáno soudem rozhodnutí o úpadku a způsobu jeho řešení podle zákona č. 182/2006 Sb., o úpadku a způsobech jeho řešení (insolvenční zákon), ve znění pozdějších předpisů, nebo je v likvidaci.</w:t>
      </w:r>
    </w:p>
    <w:p w14:paraId="1D16D511" w14:textId="77777777" w:rsidR="00D3291B" w:rsidRPr="00E37AD7" w:rsidRDefault="00D3291B" w:rsidP="00D3291B">
      <w:pPr>
        <w:pStyle w:val="Odstavecseseznamem"/>
        <w:numPr>
          <w:ilvl w:val="0"/>
          <w:numId w:val="14"/>
        </w:numPr>
        <w:autoSpaceDE w:val="0"/>
        <w:autoSpaceDN w:val="0"/>
        <w:adjustRightInd w:val="0"/>
        <w:spacing w:before="120" w:after="120"/>
        <w:ind w:left="397" w:hanging="397"/>
        <w:contextualSpacing w:val="0"/>
        <w:jc w:val="both"/>
        <w:rPr>
          <w:rFonts w:ascii="Arial" w:hAnsi="Arial" w:cs="Arial"/>
        </w:rPr>
      </w:pPr>
      <w:r w:rsidRPr="00E37AD7">
        <w:rPr>
          <w:rFonts w:ascii="Arial" w:hAnsi="Arial" w:cs="Arial"/>
        </w:rPr>
        <w:t>Žadatelem nemůže být subjekt, který je podnikem v obtížích ve smyslu článku 2 odst. 59 nařízení Komise (EU) 2022/2472,</w:t>
      </w:r>
      <w:r w:rsidRPr="00E37AD7">
        <w:rPr>
          <w:rFonts w:ascii="Arial" w:hAnsi="Arial" w:cs="Arial"/>
          <w:lang w:val="cs-CZ"/>
        </w:rPr>
        <w:t xml:space="preserve"> resp. článku 2 odst. 29 nařízení Komise (EU) 2022/2473,</w:t>
      </w:r>
      <w:r w:rsidRPr="00E37AD7">
        <w:rPr>
          <w:rFonts w:ascii="Arial" w:hAnsi="Arial" w:cs="Arial"/>
        </w:rPr>
        <w:t xml:space="preserve"> resp. článku 2 odst. 18 nařízení Komise (EU) č. 651/2014, resp. bodu (33) odst. 63 AGRI pokynů</w:t>
      </w:r>
      <w:r w:rsidRPr="00E37AD7">
        <w:rPr>
          <w:rFonts w:ascii="Arial" w:hAnsi="Arial" w:cs="Arial"/>
          <w:lang w:val="cs-CZ"/>
        </w:rPr>
        <w:t>, resp. bodu (31) odst. bb FISH pokynů</w:t>
      </w:r>
      <w:r w:rsidRPr="00E37AD7">
        <w:rPr>
          <w:rFonts w:ascii="Arial" w:hAnsi="Arial" w:cs="Arial"/>
        </w:rPr>
        <w:t>.</w:t>
      </w:r>
    </w:p>
    <w:p w14:paraId="0FF8B5C9" w14:textId="77777777" w:rsidR="00D3291B" w:rsidRPr="00E37AD7" w:rsidRDefault="00D3291B" w:rsidP="00D3291B">
      <w:pPr>
        <w:pStyle w:val="Znaeka"/>
        <w:numPr>
          <w:ilvl w:val="0"/>
          <w:numId w:val="14"/>
        </w:numPr>
        <w:spacing w:before="120" w:after="0"/>
        <w:ind w:left="397" w:hanging="397"/>
        <w:rPr>
          <w:rFonts w:ascii="Arial" w:eastAsia="Calibri" w:hAnsi="Arial" w:cs="Arial"/>
          <w:color w:val="auto"/>
          <w:szCs w:val="24"/>
        </w:rPr>
      </w:pPr>
      <w:r w:rsidRPr="00E37AD7">
        <w:rPr>
          <w:rFonts w:ascii="Arial" w:hAnsi="Arial" w:cs="Arial"/>
          <w:color w:val="auto"/>
          <w:szCs w:val="24"/>
        </w:rPr>
        <w:t xml:space="preserve">Žadatelem nemůže být subjekt, vůči němuž je vystaven dosud nesplacený inkasní příkaz </w:t>
      </w:r>
      <w:r w:rsidRPr="00E37AD7">
        <w:rPr>
          <w:rFonts w:ascii="Arial" w:eastAsia="Calibri" w:hAnsi="Arial" w:cs="Arial"/>
          <w:iCs/>
          <w:color w:val="auto"/>
          <w:szCs w:val="24"/>
          <w:lang w:eastAsia="en-US"/>
        </w:rPr>
        <w:t>k navrácení podpory</w:t>
      </w:r>
      <w:r w:rsidRPr="00E37AD7">
        <w:rPr>
          <w:rFonts w:ascii="Arial" w:eastAsia="Calibri" w:hAnsi="Arial" w:cs="Arial"/>
          <w:i/>
          <w:iCs/>
          <w:color w:val="auto"/>
          <w:szCs w:val="24"/>
          <w:lang w:eastAsia="en-US"/>
        </w:rPr>
        <w:t xml:space="preserve"> </w:t>
      </w:r>
      <w:r w:rsidRPr="00E37AD7">
        <w:rPr>
          <w:rFonts w:ascii="Arial" w:hAnsi="Arial" w:cs="Arial"/>
          <w:color w:val="auto"/>
          <w:szCs w:val="24"/>
        </w:rPr>
        <w:t>v návaznosti na rozhodnutí Komise, jímž byla podpora prohlášena za protiprávní a neslučitelnou s vnitřním trhem.</w:t>
      </w:r>
    </w:p>
    <w:p w14:paraId="536293DE"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bookmarkStart w:id="4" w:name="_Hlk141257743"/>
      <w:r w:rsidRPr="00E37AD7">
        <w:rPr>
          <w:rFonts w:ascii="Arial" w:hAnsi="Arial" w:cs="Arial"/>
          <w:color w:val="auto"/>
          <w:spacing w:val="-4"/>
          <w:szCs w:val="24"/>
        </w:rPr>
        <w:t xml:space="preserve">U dotačních programů, u kterých se podpora poskytuje podle nařízení Komise (EU) 2022/2472, </w:t>
      </w:r>
      <w:bookmarkStart w:id="5" w:name="_Hlk141257681"/>
      <w:r w:rsidRPr="00E37AD7">
        <w:rPr>
          <w:rFonts w:ascii="Arial" w:hAnsi="Arial" w:cs="Arial"/>
          <w:color w:val="auto"/>
          <w:spacing w:val="-4"/>
          <w:szCs w:val="24"/>
        </w:rPr>
        <w:t xml:space="preserve">nařízení Komise (EU) 2022/2473, </w:t>
      </w:r>
      <w:bookmarkEnd w:id="5"/>
      <w:r w:rsidRPr="00E37AD7">
        <w:rPr>
          <w:rFonts w:ascii="Arial" w:hAnsi="Arial" w:cs="Arial"/>
          <w:color w:val="auto"/>
          <w:spacing w:val="-4"/>
          <w:szCs w:val="24"/>
        </w:rPr>
        <w:t>nebo nařízení Komise (EU) č. 651/2014 nebo AGRI pokynů nebo FISH pokynů, je žadatel povinen se zařadit do kategorie mikropodniků, malých, středních nebo velkých podniků, mimo dotačního programu 9.F.e. Regionální přenos informací a 9.F.i. Odborné konzultace (podpora se vyplácí subjektu zajišťujícímu předávání znalostí a informační akce/poskytovateli poradenských služeb, nikoliv mikropodniku, malému nebo střednímu podniku působícímu v odvětví zemědělství nebo v oblasti lesnictví bez omezení velikosti podniku). Při posuzování velikosti podniku žadatel postupuje podle definice uvedené v příloze I nařízení Komise (EU) 2022/2472 a také podle Uživatelské příručky k definici malých a středních podniků vydané Evropskou komisí (</w:t>
      </w:r>
      <w:hyperlink r:id="rId5" w:history="1">
        <w:r w:rsidRPr="00E37AD7">
          <w:rPr>
            <w:rStyle w:val="Hypertextovodkaz"/>
            <w:rFonts w:ascii="Arial" w:hAnsi="Arial" w:cs="Arial"/>
            <w:color w:val="auto"/>
            <w:spacing w:val="-4"/>
            <w:szCs w:val="24"/>
          </w:rPr>
          <w:t>https://data.europa.eu/doi/10.2873/4104</w:t>
        </w:r>
      </w:hyperlink>
      <w:r w:rsidRPr="00E37AD7">
        <w:rPr>
          <w:rFonts w:ascii="Arial" w:hAnsi="Arial" w:cs="Arial"/>
          <w:color w:val="auto"/>
          <w:spacing w:val="-4"/>
          <w:szCs w:val="24"/>
        </w:rPr>
        <w:t>). Velké podniky dále musí v žádosti o dotaci popsat situaci, jež by nastala v případě, že by podpora nebyla poskytnuta, tedy hypotetický srovnávací scénář nebo uvést alternativní projekt nebo činnost a předložit písemné doklady, z nichž vychází hypotetické srovnání uvedené v žádosti o dotaci</w:t>
      </w:r>
      <w:bookmarkEnd w:id="4"/>
      <w:r w:rsidRPr="00E37AD7">
        <w:rPr>
          <w:rFonts w:ascii="Arial" w:hAnsi="Arial" w:cs="Arial"/>
          <w:color w:val="auto"/>
          <w:spacing w:val="-4"/>
          <w:szCs w:val="24"/>
        </w:rPr>
        <w:t>.</w:t>
      </w:r>
    </w:p>
    <w:p w14:paraId="07CFA02A"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Dotace se stanovuje na základě sazby (dále „dotace sazbová“), nebo dle skutečně vynaložených uznatelných nákladů (dále „dotace nákladů“), a to v rozsahu uvedeném v jednotlivých programech.</w:t>
      </w:r>
    </w:p>
    <w:p w14:paraId="4340300B"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 xml:space="preserve">Výše dotace je stanovena na základě žadatelem předloženého formuláře s doklady prokazujícími nárok na dotaci, pokud není u jednotlivých programů uvedeno jinak. </w:t>
      </w:r>
    </w:p>
    <w:p w14:paraId="107FE619"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hAnsi="Arial" w:cs="Arial"/>
          <w:color w:val="auto"/>
          <w:szCs w:val="24"/>
        </w:rPr>
        <w:t>U dotačních programů nebo podprogramů, případně předmětů dotace, u kterých je uvedeno „výše dotace do“, bude všem žadatelům poskytnuta stejná výše sazby nebo stejná výše procent.</w:t>
      </w:r>
    </w:p>
    <w:p w14:paraId="15AB073B"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eastAsia="Calibri" w:hAnsi="Arial" w:cs="Arial"/>
          <w:color w:val="auto"/>
          <w:szCs w:val="24"/>
        </w:rPr>
        <w:t xml:space="preserve">Plátce DPH může uplatnit nárok na odpočet daně z prokázaných nákladů použitých v rámci své ekonomické činnosti podle zákona č. 235/2004 Sb., o dani z přidané hodnoty, ve znění pozdějších předpisů, zejména podle ustanovení § 72 až § 79 uvedeného zákona. </w:t>
      </w:r>
      <w:r w:rsidRPr="00E37AD7">
        <w:rPr>
          <w:rFonts w:ascii="Arial" w:hAnsi="Arial" w:cs="Arial"/>
          <w:color w:val="auto"/>
          <w:szCs w:val="24"/>
        </w:rPr>
        <w:t xml:space="preserve">Při uskutečňování ekonomické činnosti se prokázané náklady hradí v úrovni včetně daně z přidané hodnoty (dále jen „DPH“) pro neplátce DPH a v úrovni bez DPH u plátců. U nákladů použitých mimo ekonomickou činnost se prokazatelné náklady hradí v úrovni včetně DPH, pokud není u konkrétního dotačního programu uvedeno jinak. </w:t>
      </w:r>
    </w:p>
    <w:p w14:paraId="5D41141C"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eastAsia="Calibri" w:hAnsi="Arial" w:cs="Arial"/>
          <w:color w:val="auto"/>
          <w:szCs w:val="24"/>
        </w:rPr>
        <w:lastRenderedPageBreak/>
        <w:t xml:space="preserve">Uznatelné náklady musí být uhrazeny do konce termínu příjmu dokladů prokazujících nárok na dotaci, </w:t>
      </w:r>
      <w:r w:rsidRPr="00E37AD7">
        <w:rPr>
          <w:rFonts w:ascii="Arial" w:hAnsi="Arial" w:cs="Arial"/>
          <w:color w:val="auto"/>
          <w:szCs w:val="24"/>
        </w:rPr>
        <w:t>pokud není u konkrétního dotačního programu uvedeno jinak.</w:t>
      </w:r>
    </w:p>
    <w:p w14:paraId="24AD606C" w14:textId="77777777" w:rsidR="00D3291B" w:rsidRPr="00E37AD7" w:rsidRDefault="00D3291B" w:rsidP="00D3291B">
      <w:pPr>
        <w:numPr>
          <w:ilvl w:val="0"/>
          <w:numId w:val="14"/>
        </w:numPr>
        <w:spacing w:before="120"/>
        <w:ind w:left="397" w:hanging="397"/>
        <w:jc w:val="both"/>
        <w:rPr>
          <w:rFonts w:cs="Arial"/>
          <w:sz w:val="24"/>
          <w:szCs w:val="24"/>
        </w:rPr>
      </w:pPr>
      <w:r w:rsidRPr="00E37AD7">
        <w:rPr>
          <w:rFonts w:cs="Arial"/>
          <w:sz w:val="24"/>
          <w:szCs w:val="24"/>
        </w:rPr>
        <w:t>Pokud je platba provedena v jiné měně než CZK a kurz nebude uveden na dokladu prokazujícím uhrazení skutečně vynaložených uznatelných nákladů, žadatel použije kurz České národní banky (kurz devizového trhu) platný v den odečtu částky z bankovního účtu žadatele.</w:t>
      </w:r>
    </w:p>
    <w:p w14:paraId="2A58D871"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eastAsia="Calibri" w:hAnsi="Arial" w:cs="Arial"/>
          <w:color w:val="auto"/>
          <w:szCs w:val="24"/>
        </w:rPr>
        <w:t>Pokud žadatel u dotačních programů s motivačním účinkem nepodá žádost o dotaci podle bodu 1 písm. d) před zahájením činnosti nebo zahájením práce na projektu, Fond žádost o dotaci zamítne.</w:t>
      </w:r>
    </w:p>
    <w:p w14:paraId="2D742C49" w14:textId="77777777" w:rsidR="00D3291B" w:rsidRPr="00E37AD7" w:rsidRDefault="00D3291B" w:rsidP="00D3291B">
      <w:pPr>
        <w:pStyle w:val="Znaeka"/>
        <w:numPr>
          <w:ilvl w:val="0"/>
          <w:numId w:val="14"/>
        </w:numPr>
        <w:spacing w:before="120" w:after="120"/>
        <w:ind w:left="397" w:hanging="397"/>
        <w:rPr>
          <w:rFonts w:ascii="Arial" w:hAnsi="Arial" w:cs="Arial"/>
          <w:color w:val="auto"/>
          <w:szCs w:val="24"/>
        </w:rPr>
      </w:pPr>
      <w:r w:rsidRPr="00E37AD7">
        <w:rPr>
          <w:rFonts w:ascii="Arial" w:hAnsi="Arial" w:cs="Arial"/>
          <w:color w:val="auto"/>
          <w:szCs w:val="24"/>
        </w:rPr>
        <w:t>V případě pozdního podání žádosti o dotaci bude žadateli krácena dotace následujícím způsobem:</w:t>
      </w:r>
    </w:p>
    <w:p w14:paraId="5CD3C010" w14:textId="77777777" w:rsidR="00D3291B" w:rsidRPr="00E37AD7" w:rsidRDefault="00D3291B" w:rsidP="00D3291B">
      <w:pPr>
        <w:pStyle w:val="Znaeka"/>
        <w:numPr>
          <w:ilvl w:val="0"/>
          <w:numId w:val="15"/>
        </w:numPr>
        <w:spacing w:before="120" w:after="120"/>
        <w:ind w:left="924" w:hanging="357"/>
        <w:rPr>
          <w:rFonts w:ascii="Arial" w:hAnsi="Arial" w:cs="Arial"/>
          <w:color w:val="auto"/>
          <w:szCs w:val="24"/>
        </w:rPr>
      </w:pPr>
      <w:r w:rsidRPr="00E37AD7">
        <w:rPr>
          <w:rFonts w:ascii="Arial" w:hAnsi="Arial" w:cs="Arial"/>
          <w:color w:val="auto"/>
          <w:szCs w:val="24"/>
        </w:rPr>
        <w:t xml:space="preserve">v případě prodlení do 15 kalendářních dní včetně o 3 %, </w:t>
      </w:r>
    </w:p>
    <w:p w14:paraId="427C13F5" w14:textId="77777777" w:rsidR="00D3291B" w:rsidRPr="00E37AD7" w:rsidRDefault="00D3291B" w:rsidP="00D3291B">
      <w:pPr>
        <w:pStyle w:val="Znaeka"/>
        <w:numPr>
          <w:ilvl w:val="0"/>
          <w:numId w:val="15"/>
        </w:numPr>
        <w:spacing w:before="120" w:after="120"/>
        <w:ind w:left="924" w:hanging="357"/>
        <w:rPr>
          <w:rFonts w:ascii="Arial" w:hAnsi="Arial" w:cs="Arial"/>
          <w:color w:val="auto"/>
          <w:szCs w:val="24"/>
        </w:rPr>
      </w:pPr>
      <w:r w:rsidRPr="00E37AD7">
        <w:rPr>
          <w:rFonts w:ascii="Arial" w:hAnsi="Arial" w:cs="Arial"/>
          <w:color w:val="auto"/>
          <w:szCs w:val="24"/>
        </w:rPr>
        <w:t>v případě prodlení od 16 do 30 kalendářních dní včetně o 5 %.</w:t>
      </w:r>
    </w:p>
    <w:p w14:paraId="2D16784B" w14:textId="77777777" w:rsidR="00D3291B" w:rsidRPr="00E37AD7" w:rsidRDefault="00D3291B" w:rsidP="00D3291B">
      <w:pPr>
        <w:pStyle w:val="Znaeka"/>
        <w:spacing w:before="120" w:after="120"/>
        <w:ind w:left="397"/>
        <w:rPr>
          <w:rFonts w:ascii="Arial" w:hAnsi="Arial" w:cs="Arial"/>
          <w:color w:val="auto"/>
          <w:szCs w:val="24"/>
        </w:rPr>
      </w:pPr>
      <w:r w:rsidRPr="00E37AD7">
        <w:rPr>
          <w:rFonts w:ascii="Arial" w:hAnsi="Arial" w:cs="Arial"/>
          <w:color w:val="auto"/>
          <w:szCs w:val="24"/>
        </w:rPr>
        <w:t xml:space="preserve">V případě delšího prodlení bude žádost o dotaci zamítnuta. </w:t>
      </w:r>
    </w:p>
    <w:p w14:paraId="5211AA5D" w14:textId="77777777" w:rsidR="00D3291B" w:rsidRPr="00E37AD7" w:rsidRDefault="00D3291B" w:rsidP="00D3291B">
      <w:pPr>
        <w:pStyle w:val="Znaeka"/>
        <w:spacing w:before="120" w:after="120"/>
        <w:ind w:left="397"/>
        <w:rPr>
          <w:rFonts w:ascii="Arial" w:hAnsi="Arial" w:cs="Arial"/>
          <w:color w:val="auto"/>
          <w:szCs w:val="24"/>
        </w:rPr>
      </w:pPr>
      <w:r w:rsidRPr="00E37AD7">
        <w:rPr>
          <w:rFonts w:ascii="Arial" w:hAnsi="Arial" w:cs="Arial"/>
          <w:color w:val="auto"/>
          <w:szCs w:val="24"/>
        </w:rPr>
        <w:t>U dotačních programů s motivačním účinkem musí být i v případě pozdního podání žádosti o dotaci splněna podmínka zahájení činnosti nebo práce na projektu až po podání žádosti o dotaci. Jinak bude žádost o dotaci zamítnuta.</w:t>
      </w:r>
    </w:p>
    <w:p w14:paraId="0AC198D1" w14:textId="77777777" w:rsidR="00D3291B" w:rsidRPr="00E37AD7" w:rsidRDefault="00D3291B" w:rsidP="00D3291B">
      <w:pPr>
        <w:pStyle w:val="Znaeka"/>
        <w:numPr>
          <w:ilvl w:val="0"/>
          <w:numId w:val="14"/>
        </w:numPr>
        <w:spacing w:before="120" w:after="120"/>
        <w:ind w:left="397" w:hanging="397"/>
        <w:rPr>
          <w:rFonts w:ascii="Arial" w:hAnsi="Arial" w:cs="Arial"/>
          <w:color w:val="auto"/>
          <w:szCs w:val="24"/>
        </w:rPr>
      </w:pPr>
      <w:r w:rsidRPr="00E37AD7">
        <w:rPr>
          <w:rFonts w:ascii="Arial" w:hAnsi="Arial" w:cs="Arial"/>
          <w:color w:val="auto"/>
          <w:szCs w:val="24"/>
        </w:rPr>
        <w:t xml:space="preserve">Zadávání veřejných zakázek je upraveno zákonem č. 134/2016 Sb., o zadávání veřejných zakázek, ve znění pozdějších předpisů (dále jen „ZZVZ“). </w:t>
      </w:r>
    </w:p>
    <w:p w14:paraId="40103409" w14:textId="77777777" w:rsidR="00D3291B" w:rsidRPr="00E37AD7" w:rsidRDefault="00D3291B" w:rsidP="00D3291B">
      <w:pPr>
        <w:pStyle w:val="Znaeka"/>
        <w:spacing w:before="120" w:after="120"/>
        <w:ind w:left="397"/>
        <w:rPr>
          <w:rFonts w:ascii="Arial" w:hAnsi="Arial" w:cs="Arial"/>
          <w:color w:val="auto"/>
          <w:szCs w:val="24"/>
        </w:rPr>
      </w:pPr>
      <w:r w:rsidRPr="00E37AD7">
        <w:rPr>
          <w:rFonts w:ascii="Arial" w:hAnsi="Arial" w:cs="Arial"/>
          <w:color w:val="auto"/>
          <w:szCs w:val="24"/>
        </w:rPr>
        <w:t>Žadatel, který je zadavatelem podle § 4 ZZVZ, postupuje podle tohoto zákona, tj. zodpovídá za řádné provedení zadávacího řízení a jeho průběh náležitě dokladuje podle tohoto zákona.</w:t>
      </w:r>
    </w:p>
    <w:p w14:paraId="48A91A41" w14:textId="77777777" w:rsidR="00D3291B" w:rsidRPr="00E37AD7" w:rsidRDefault="00D3291B" w:rsidP="00D3291B">
      <w:pPr>
        <w:ind w:left="397"/>
        <w:jc w:val="both"/>
        <w:rPr>
          <w:rFonts w:cs="Arial"/>
          <w:sz w:val="24"/>
          <w:szCs w:val="24"/>
        </w:rPr>
      </w:pPr>
      <w:r w:rsidRPr="00E37AD7">
        <w:rPr>
          <w:rFonts w:cs="Arial"/>
          <w:sz w:val="24"/>
          <w:szCs w:val="24"/>
        </w:rPr>
        <w:t>V případě porušení podmínek vyplývajících ze ZZVZ, nebudou žadateli uznány veškeré náklady vztahující se na daňové doklady k příslušné veřejné zakázce.</w:t>
      </w:r>
    </w:p>
    <w:p w14:paraId="1A61196A" w14:textId="77777777" w:rsidR="00D3291B" w:rsidRPr="00E37AD7" w:rsidRDefault="00D3291B" w:rsidP="00D3291B">
      <w:pPr>
        <w:pStyle w:val="Znaeka"/>
        <w:numPr>
          <w:ilvl w:val="0"/>
          <w:numId w:val="14"/>
        </w:numPr>
        <w:spacing w:before="120" w:after="0"/>
        <w:ind w:left="397" w:hanging="397"/>
        <w:rPr>
          <w:rFonts w:ascii="Arial" w:hAnsi="Arial" w:cs="Arial"/>
          <w:color w:val="auto"/>
          <w:szCs w:val="24"/>
        </w:rPr>
      </w:pPr>
      <w:r w:rsidRPr="00E37AD7">
        <w:rPr>
          <w:rFonts w:ascii="Arial" w:eastAsia="Calibri" w:hAnsi="Arial" w:cs="Arial"/>
          <w:color w:val="auto"/>
          <w:szCs w:val="24"/>
        </w:rPr>
        <w:t>Žadatel odpovídá za to, že všechny jím uvedené údaje na žádosti o dotaci jsou úplné a pravdivé a že účel, na který mu bude poskytnuta dotace, splní v rozsahu a do termínu, který je určen Zásadami.</w:t>
      </w:r>
    </w:p>
    <w:p w14:paraId="1A18BD45" w14:textId="77777777" w:rsidR="00D3291B" w:rsidRPr="00E37AD7" w:rsidRDefault="00D3291B" w:rsidP="00D3291B">
      <w:pPr>
        <w:pStyle w:val="Znaeka"/>
        <w:numPr>
          <w:ilvl w:val="0"/>
          <w:numId w:val="14"/>
        </w:numPr>
        <w:spacing w:before="120" w:after="120"/>
        <w:ind w:left="397" w:hanging="397"/>
        <w:rPr>
          <w:rFonts w:ascii="Arial" w:hAnsi="Arial" w:cs="Arial"/>
          <w:color w:val="auto"/>
          <w:szCs w:val="24"/>
        </w:rPr>
      </w:pPr>
      <w:r w:rsidRPr="00E37AD7">
        <w:rPr>
          <w:rFonts w:ascii="Arial" w:hAnsi="Arial" w:cs="Arial"/>
          <w:color w:val="auto"/>
          <w:szCs w:val="24"/>
        </w:rPr>
        <w:t xml:space="preserve">Dotaci nelze poskytnout v případě, pokud bylo ze strany žadatele či s jeho vědomím třetí osobou podáno nepravdivé prohlášení nebo nepravdivý důkaz a/nebo v případě, že žadatel vlastní nedbalostí neposkytl potřebné informace a/nebo v případě, že podmínky stanovené pro získání dotace žadatel vytvoří tak, aby získal výhodu, která není v souladu s cíli a podmínkami Zásad. </w:t>
      </w:r>
    </w:p>
    <w:p w14:paraId="4221B7AA" w14:textId="77777777" w:rsidR="00D3291B" w:rsidRPr="00E37AD7" w:rsidRDefault="00D3291B" w:rsidP="00D3291B">
      <w:pPr>
        <w:pStyle w:val="Znaeka"/>
        <w:numPr>
          <w:ilvl w:val="0"/>
          <w:numId w:val="14"/>
        </w:numPr>
        <w:spacing w:before="120" w:after="120"/>
        <w:ind w:left="397" w:hanging="397"/>
        <w:rPr>
          <w:rFonts w:ascii="Arial" w:hAnsi="Arial" w:cs="Arial"/>
          <w:color w:val="auto"/>
          <w:szCs w:val="24"/>
        </w:rPr>
      </w:pPr>
      <w:r w:rsidRPr="00E37AD7">
        <w:rPr>
          <w:rFonts w:ascii="Arial" w:hAnsi="Arial" w:cs="Arial"/>
          <w:color w:val="auto"/>
          <w:szCs w:val="24"/>
        </w:rPr>
        <w:t xml:space="preserve">Opatření související s ruskou agresí na Ukrajině: </w:t>
      </w:r>
    </w:p>
    <w:p w14:paraId="228FC60F" w14:textId="77777777" w:rsidR="00D3291B" w:rsidRPr="00E37AD7" w:rsidRDefault="00D3291B" w:rsidP="00D3291B">
      <w:pPr>
        <w:numPr>
          <w:ilvl w:val="0"/>
          <w:numId w:val="17"/>
        </w:numPr>
        <w:spacing w:after="120"/>
        <w:jc w:val="both"/>
        <w:rPr>
          <w:rFonts w:cs="Arial"/>
          <w:sz w:val="24"/>
          <w:szCs w:val="24"/>
          <w:lang w:eastAsia="cs-CZ"/>
        </w:rPr>
      </w:pPr>
      <w:r w:rsidRPr="00E37AD7">
        <w:rPr>
          <w:rFonts w:cs="Arial"/>
          <w:sz w:val="24"/>
          <w:szCs w:val="24"/>
          <w:lang w:eastAsia="cs-CZ"/>
        </w:rPr>
        <w:t>v souladu s čl. 5l odst. 1 nařízení Rady (EU) 2022/576 ze dne 8. dubna 2022, kterým se mění nařízení (EU) č. 833/2014 o omezujících opatřeních vzhledem k činnostem Ruska destabilizujícím situaci na Ukrajině, se zakazuje poskytovat přímou či nepřímou podporu, včetně financování a finanční pomoci nebo jakékoli jiné výhody plynoucí z programu Unie, Euratomu nebo vnitrostátního programu členského státu a zakázek ve smyslu nařízení (EU, Euratom) 2018/1046, jakékoli právnické osobě, subjektu nebo orgánu usazenému v Rusku, které jsou z více než 50 % ve veřejném vlastnictví či pod veřejnou kontrolou,</w:t>
      </w:r>
    </w:p>
    <w:p w14:paraId="00ADE400" w14:textId="77777777" w:rsidR="00D3291B" w:rsidRPr="00E37AD7" w:rsidRDefault="00D3291B" w:rsidP="00D3291B">
      <w:pPr>
        <w:numPr>
          <w:ilvl w:val="0"/>
          <w:numId w:val="17"/>
        </w:numPr>
        <w:spacing w:after="120"/>
        <w:jc w:val="both"/>
        <w:rPr>
          <w:rFonts w:cs="Arial"/>
          <w:sz w:val="24"/>
          <w:szCs w:val="24"/>
        </w:rPr>
      </w:pPr>
      <w:r w:rsidRPr="00E37AD7">
        <w:rPr>
          <w:rFonts w:cs="Arial"/>
          <w:sz w:val="24"/>
          <w:szCs w:val="24"/>
        </w:rPr>
        <w:lastRenderedPageBreak/>
        <w:t>každý zadavatel veřejné zakázky musí ověřit, že vybraný dodavatel pro plnění veřejné zakázky není osobou, na niž by se vztahovaly (i) sankční režimy zavedené Evropskou unií na základě nařízení Rady (EU) č. 269/2014 ze dne 17. března 2014 o omezujících opatřeních vzhledem k činnostem narušujícím nebo ohrožujícím územní celistvost, svrchovanost a nezávislost Ukrajiny a nařízení Rady (EU) č. 208/2014 ze dne 5. března 2014 o omezujících opatřeních vůči některým osobám, subjektům a orgánům vzhledem k situaci na Ukrajině, stejně jako na základě nařízení Rady (ES) č. 765/2006 ze dne 18. května 2006 o omezujících opatřeních vůči prezidentu Lukašenkovi a některým představitelům Běloruska,  a dále (</w:t>
      </w:r>
      <w:proofErr w:type="spellStart"/>
      <w:r w:rsidRPr="00E37AD7">
        <w:rPr>
          <w:rFonts w:cs="Arial"/>
          <w:sz w:val="24"/>
          <w:szCs w:val="24"/>
        </w:rPr>
        <w:t>ii</w:t>
      </w:r>
      <w:proofErr w:type="spellEnd"/>
      <w:r w:rsidRPr="00E37AD7">
        <w:rPr>
          <w:rFonts w:cs="Arial"/>
          <w:sz w:val="24"/>
          <w:szCs w:val="24"/>
        </w:rPr>
        <w:t>) české právní předpisy, zejména zákon č. 69/2006 Sb., o provádění mezinárodních sankcí, v platném znění, navazující na nařízení EU uvedená v tomto odstavci, přičemž se tento zákaz vztahuje i na všechny poddodavatele vybraného dodavatele,</w:t>
      </w:r>
    </w:p>
    <w:p w14:paraId="2A109078" w14:textId="77777777" w:rsidR="00D3291B" w:rsidRPr="00E37AD7" w:rsidRDefault="00D3291B" w:rsidP="00D3291B">
      <w:pPr>
        <w:numPr>
          <w:ilvl w:val="0"/>
          <w:numId w:val="17"/>
        </w:numPr>
        <w:spacing w:after="120"/>
        <w:ind w:left="714" w:hanging="357"/>
        <w:jc w:val="both"/>
        <w:rPr>
          <w:rFonts w:cs="Arial"/>
          <w:sz w:val="24"/>
          <w:szCs w:val="24"/>
        </w:rPr>
      </w:pPr>
      <w:r w:rsidRPr="00E37AD7">
        <w:rPr>
          <w:rFonts w:cs="Arial"/>
          <w:sz w:val="24"/>
          <w:szCs w:val="24"/>
        </w:rPr>
        <w:t xml:space="preserve">v případě nadlimitních veřejných zakázek musí zadavatel veřejné zakázky, mimo podmínek uvedených v písm. b), také ověřit, že vybraný dodavatel pro plnění veřejné zakázky, na základě čl. 5k odst. 1 nařízení Rady (EU) 2022/576 ze dne 8. dubna 2022, kterým se mění nařízení (EU) č. 833/2014 o omezujících opatřeních vzhledem k činnostem Ruska destabilizujícím situaci na Ukrajině, není: </w:t>
      </w:r>
    </w:p>
    <w:p w14:paraId="58831579" w14:textId="77777777" w:rsidR="00D3291B" w:rsidRPr="00E37AD7" w:rsidRDefault="00D3291B" w:rsidP="00D3291B">
      <w:pPr>
        <w:numPr>
          <w:ilvl w:val="1"/>
          <w:numId w:val="16"/>
        </w:numPr>
        <w:jc w:val="both"/>
        <w:rPr>
          <w:rFonts w:cs="Arial"/>
          <w:sz w:val="24"/>
          <w:szCs w:val="24"/>
          <w:lang w:eastAsia="cs-CZ"/>
        </w:rPr>
      </w:pPr>
      <w:r w:rsidRPr="00E37AD7">
        <w:rPr>
          <w:rFonts w:cs="Arial"/>
          <w:sz w:val="24"/>
          <w:szCs w:val="24"/>
          <w:lang w:eastAsia="cs-CZ"/>
        </w:rPr>
        <w:t>ruským státním příslušníkem, fyzickou či právnickou osobou nebo subjektem či orgánem se sídlem v Rusku;</w:t>
      </w:r>
    </w:p>
    <w:p w14:paraId="37DBAC0B" w14:textId="77777777" w:rsidR="00D3291B" w:rsidRPr="00E37AD7" w:rsidRDefault="00D3291B" w:rsidP="00D3291B">
      <w:pPr>
        <w:numPr>
          <w:ilvl w:val="1"/>
          <w:numId w:val="16"/>
        </w:numPr>
        <w:jc w:val="both"/>
        <w:rPr>
          <w:rFonts w:cs="Arial"/>
          <w:sz w:val="24"/>
          <w:szCs w:val="24"/>
          <w:lang w:eastAsia="cs-CZ"/>
        </w:rPr>
      </w:pPr>
      <w:r w:rsidRPr="00E37AD7">
        <w:rPr>
          <w:rFonts w:cs="Arial"/>
          <w:sz w:val="24"/>
          <w:szCs w:val="24"/>
          <w:lang w:eastAsia="cs-CZ"/>
        </w:rPr>
        <w:t>právnickou osobou, subjektem nebo orgánem, které jsou z více než 50 % přímo či nepřímo vlastněny některým ze subjektů uvedených v písmeni a. tohoto odstavce, přičemž podíly těchto subjektů se sčítají nebo</w:t>
      </w:r>
    </w:p>
    <w:p w14:paraId="01640581" w14:textId="77777777" w:rsidR="00D3291B" w:rsidRPr="00E37AD7" w:rsidRDefault="00D3291B" w:rsidP="00D3291B">
      <w:pPr>
        <w:numPr>
          <w:ilvl w:val="1"/>
          <w:numId w:val="16"/>
        </w:numPr>
        <w:spacing w:after="120"/>
        <w:ind w:left="1208" w:hanging="357"/>
        <w:jc w:val="both"/>
        <w:rPr>
          <w:rFonts w:cs="Arial"/>
          <w:sz w:val="24"/>
          <w:szCs w:val="24"/>
          <w:lang w:eastAsia="cs-CZ"/>
        </w:rPr>
      </w:pPr>
      <w:r w:rsidRPr="00E37AD7">
        <w:rPr>
          <w:rFonts w:cs="Arial"/>
          <w:sz w:val="24"/>
          <w:szCs w:val="24"/>
          <w:lang w:eastAsia="cs-CZ"/>
        </w:rPr>
        <w:t>fyzickou nebo právnickou osobou, subjektem nebo orgánem, které jednají jménem nebo na pokyn některého ze subjektů uvedených v písmeni a. nebo b. tohoto odstavce,</w:t>
      </w:r>
    </w:p>
    <w:p w14:paraId="7533E1BA" w14:textId="77777777" w:rsidR="00D3291B" w:rsidRPr="00E37AD7" w:rsidRDefault="00D3291B" w:rsidP="00D3291B">
      <w:pPr>
        <w:ind w:left="432"/>
        <w:jc w:val="both"/>
        <w:rPr>
          <w:rFonts w:cs="Arial"/>
          <w:sz w:val="24"/>
          <w:szCs w:val="24"/>
        </w:rPr>
      </w:pPr>
      <w:r w:rsidRPr="00E37AD7">
        <w:rPr>
          <w:rFonts w:cs="Arial"/>
          <w:sz w:val="24"/>
          <w:szCs w:val="24"/>
        </w:rPr>
        <w:t>přičemž se tento zákaz vztahuje i na všechny poddodavatele vybraného dodavatele, pokud jejich plnění představuje více než 10 % hodnoty zakázky.</w:t>
      </w:r>
    </w:p>
    <w:p w14:paraId="6267A1CB" w14:textId="77777777" w:rsidR="00D3291B" w:rsidRPr="00E37AD7" w:rsidRDefault="00D3291B" w:rsidP="00D3291B">
      <w:pPr>
        <w:numPr>
          <w:ilvl w:val="0"/>
          <w:numId w:val="19"/>
        </w:numPr>
        <w:spacing w:before="120" w:after="240"/>
        <w:ind w:left="397" w:hanging="397"/>
        <w:jc w:val="both"/>
        <w:rPr>
          <w:rFonts w:cs="Arial"/>
          <w:sz w:val="24"/>
          <w:szCs w:val="24"/>
        </w:rPr>
      </w:pPr>
      <w:r w:rsidRPr="00E37AD7">
        <w:rPr>
          <w:rFonts w:cs="Arial"/>
          <w:sz w:val="24"/>
          <w:szCs w:val="24"/>
        </w:rPr>
        <w:t>V případě rozhodnutí Komise v průběhu realizace předmětu dotace týkajícího se změny typu dotace nebo úpravy sazby, administruje se dotčený dotační program v souladu s rozhodnutím Komise, a to pro celé období realizace předmětu dotace stanovené v Zásadách, pokud není u jednotlivých programů uvedeno jinak.</w:t>
      </w:r>
    </w:p>
    <w:p w14:paraId="3CB6CC7A"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r w:rsidRPr="00E37AD7">
        <w:rPr>
          <w:rFonts w:ascii="Arial" w:hAnsi="Arial" w:cs="Arial"/>
          <w:b/>
        </w:rPr>
        <w:t>Změny žádosti o dotaci, změna žadatele</w:t>
      </w:r>
    </w:p>
    <w:p w14:paraId="4BCF3518" w14:textId="77777777" w:rsidR="00D3291B" w:rsidRPr="00E37AD7" w:rsidRDefault="00D3291B" w:rsidP="00D3291B">
      <w:pPr>
        <w:numPr>
          <w:ilvl w:val="0"/>
          <w:numId w:val="7"/>
        </w:numPr>
        <w:ind w:left="397" w:hanging="397"/>
        <w:jc w:val="both"/>
        <w:rPr>
          <w:rFonts w:eastAsia="Times New Roman" w:cs="Arial"/>
          <w:sz w:val="24"/>
          <w:szCs w:val="24"/>
          <w:lang w:eastAsia="cs-CZ"/>
        </w:rPr>
      </w:pPr>
      <w:r w:rsidRPr="00E37AD7">
        <w:rPr>
          <w:rFonts w:cs="Arial"/>
          <w:sz w:val="24"/>
          <w:szCs w:val="24"/>
        </w:rPr>
        <w:t xml:space="preserve">Žadatel může od podání žádosti o dotaci až do vydání rozhodnutí svou žádost o dotaci změnit či upravit, přičemž výše dotace je stanovena na základě žadatelem předloženého formuláře s doklady prokazujícími nárok na dotaci, pokud není u jednotlivých programů uvedeno jinak. </w:t>
      </w:r>
      <w:r w:rsidRPr="00E37AD7">
        <w:rPr>
          <w:rFonts w:eastAsia="Times New Roman" w:cs="Arial"/>
          <w:sz w:val="24"/>
          <w:szCs w:val="24"/>
          <w:lang w:eastAsia="cs-CZ"/>
        </w:rPr>
        <w:t xml:space="preserve">Po oznámení či zahájení kontroly na místě není změna nebo doplnění žádosti o dotaci (předmětu dotace) přípustná. </w:t>
      </w:r>
    </w:p>
    <w:p w14:paraId="6734AC36" w14:textId="77777777" w:rsidR="00D3291B" w:rsidRPr="00E37AD7" w:rsidRDefault="00D3291B" w:rsidP="00D3291B">
      <w:pPr>
        <w:pStyle w:val="Znaeka"/>
        <w:numPr>
          <w:ilvl w:val="0"/>
          <w:numId w:val="7"/>
        </w:numPr>
        <w:spacing w:before="120" w:after="0"/>
        <w:ind w:left="397" w:hanging="397"/>
        <w:rPr>
          <w:rFonts w:ascii="Arial" w:hAnsi="Arial" w:cs="Arial"/>
          <w:color w:val="auto"/>
          <w:szCs w:val="24"/>
        </w:rPr>
      </w:pPr>
      <w:r w:rsidRPr="00E37AD7">
        <w:rPr>
          <w:rFonts w:ascii="Arial" w:hAnsi="Arial" w:cs="Arial"/>
          <w:color w:val="auto"/>
          <w:szCs w:val="24"/>
        </w:rPr>
        <w:t>Jestliže žadatel zemřel nebo zanikl a právní nástupce žadatele pokračuje v zahájeném řízení o žádosti o dotaci, oznámí právní nástupce žadatele tuto skutečnost Fondu.</w:t>
      </w:r>
    </w:p>
    <w:p w14:paraId="6ABF934B" w14:textId="77777777" w:rsidR="00D3291B" w:rsidRPr="00E37AD7" w:rsidRDefault="00D3291B" w:rsidP="00D3291B">
      <w:pPr>
        <w:pStyle w:val="Znaeka"/>
        <w:numPr>
          <w:ilvl w:val="0"/>
          <w:numId w:val="7"/>
        </w:numPr>
        <w:spacing w:before="120" w:after="0"/>
        <w:ind w:left="397" w:hanging="397"/>
        <w:rPr>
          <w:rFonts w:ascii="Arial" w:hAnsi="Arial" w:cs="Arial"/>
          <w:color w:val="auto"/>
          <w:szCs w:val="24"/>
        </w:rPr>
      </w:pPr>
      <w:r w:rsidRPr="00E37AD7">
        <w:rPr>
          <w:rFonts w:ascii="Arial" w:hAnsi="Arial" w:cs="Arial"/>
          <w:color w:val="auto"/>
          <w:szCs w:val="24"/>
        </w:rPr>
        <w:t>Jestliže dojde k převodu obchodního závodu v době zahájeného řízení o žádosti o dotaci nebo v době trvání plnění podmínek dotace, oznámí nabyvatel tuto skutečnost Fondu.</w:t>
      </w:r>
    </w:p>
    <w:p w14:paraId="528291DE" w14:textId="77777777" w:rsidR="00D3291B" w:rsidRPr="00E37AD7" w:rsidRDefault="00D3291B" w:rsidP="00D3291B">
      <w:pPr>
        <w:pStyle w:val="Znaeka"/>
        <w:numPr>
          <w:ilvl w:val="0"/>
          <w:numId w:val="7"/>
        </w:numPr>
        <w:spacing w:before="120" w:after="0"/>
        <w:ind w:left="397" w:hanging="397"/>
        <w:rPr>
          <w:rFonts w:ascii="Arial" w:hAnsi="Arial" w:cs="Arial"/>
          <w:color w:val="auto"/>
          <w:szCs w:val="24"/>
        </w:rPr>
      </w:pPr>
      <w:r w:rsidRPr="00E37AD7">
        <w:rPr>
          <w:rFonts w:ascii="Arial" w:hAnsi="Arial" w:cs="Arial"/>
          <w:color w:val="auto"/>
          <w:szCs w:val="24"/>
        </w:rPr>
        <w:lastRenderedPageBreak/>
        <w:t>Změnu žadatele a zásah vyšší moci a mimořádných okolností v případě dotačních programů, u kterých je to ve znění jejich podmínek uvedeno, žadatel oznamuje Fondu prostřednictvím Portálu farmáře na formuláři k tomu určeném (Ohlášení vyšší moci, Ohlášení změny žadatele) a doloží k tomu příslušné doklady.</w:t>
      </w:r>
    </w:p>
    <w:p w14:paraId="7622C185"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r w:rsidRPr="00E37AD7">
        <w:rPr>
          <w:rFonts w:ascii="Arial" w:hAnsi="Arial" w:cs="Arial"/>
          <w:b/>
        </w:rPr>
        <w:t>Doložení dokladů prokazujících nárok na dotaci</w:t>
      </w:r>
    </w:p>
    <w:p w14:paraId="2E66FD49" w14:textId="77777777" w:rsidR="00D3291B" w:rsidRPr="00E37AD7" w:rsidRDefault="00D3291B" w:rsidP="00D3291B">
      <w:pPr>
        <w:pStyle w:val="Znaeka"/>
        <w:numPr>
          <w:ilvl w:val="0"/>
          <w:numId w:val="8"/>
        </w:numPr>
        <w:spacing w:before="120" w:after="120"/>
        <w:ind w:left="397" w:hanging="397"/>
        <w:rPr>
          <w:rFonts w:ascii="Arial" w:hAnsi="Arial" w:cs="Arial"/>
          <w:color w:val="auto"/>
          <w:szCs w:val="24"/>
        </w:rPr>
      </w:pPr>
      <w:r w:rsidRPr="00E37AD7">
        <w:rPr>
          <w:rFonts w:ascii="Arial" w:hAnsi="Arial" w:cs="Arial"/>
          <w:color w:val="auto"/>
          <w:szCs w:val="24"/>
        </w:rPr>
        <w:t>Doklady stanovené pro jednotlivé programy, které prokazují nárok na dotaci, podá žadatel Fondu prostřednictvím formuláře přes Portál farmáře Fondu ve lhůtě stanovené pro jednotlivé programy. Připadne-li konec termínu na sobotu, neděli nebo svátek, je posledním dnem lhůty nejbližší následující pracovní den.</w:t>
      </w:r>
    </w:p>
    <w:p w14:paraId="400F97A3" w14:textId="77777777" w:rsidR="00D3291B" w:rsidRPr="00E37AD7" w:rsidRDefault="00D3291B" w:rsidP="00D3291B">
      <w:pPr>
        <w:pStyle w:val="Znaeka"/>
        <w:numPr>
          <w:ilvl w:val="0"/>
          <w:numId w:val="8"/>
        </w:numPr>
        <w:spacing w:before="120" w:after="0"/>
        <w:ind w:left="397" w:hanging="397"/>
        <w:rPr>
          <w:rFonts w:ascii="Arial" w:hAnsi="Arial" w:cs="Arial"/>
          <w:color w:val="auto"/>
          <w:szCs w:val="24"/>
        </w:rPr>
      </w:pPr>
      <w:r w:rsidRPr="00E37AD7">
        <w:rPr>
          <w:rFonts w:ascii="Arial" w:hAnsi="Arial" w:cs="Arial"/>
          <w:color w:val="auto"/>
          <w:szCs w:val="24"/>
        </w:rPr>
        <w:t>U dotačních programů s motivačním účinkem, u kterých žadatel podal nebo podá Fondu žádost o dotaci v roce 2023, doručí žadatel Fondu doklad prokazující nárok na dotaci dle těchto Zásad.</w:t>
      </w:r>
    </w:p>
    <w:p w14:paraId="313911F2" w14:textId="77777777" w:rsidR="00D3291B" w:rsidRPr="00E37AD7" w:rsidRDefault="00D3291B" w:rsidP="00D3291B">
      <w:pPr>
        <w:pStyle w:val="Znaeka"/>
        <w:numPr>
          <w:ilvl w:val="0"/>
          <w:numId w:val="8"/>
        </w:numPr>
        <w:spacing w:before="120" w:after="120"/>
        <w:ind w:left="397" w:hanging="397"/>
        <w:rPr>
          <w:rFonts w:ascii="Arial" w:hAnsi="Arial" w:cs="Arial"/>
          <w:color w:val="auto"/>
          <w:szCs w:val="24"/>
        </w:rPr>
      </w:pPr>
      <w:r w:rsidRPr="00E37AD7">
        <w:rPr>
          <w:rFonts w:ascii="Arial" w:hAnsi="Arial" w:cs="Arial"/>
          <w:color w:val="auto"/>
          <w:szCs w:val="24"/>
        </w:rPr>
        <w:t>U dotačních programů s motivačním účinkem, u kterých žadatel podal nebo podá Fondu žádost o dotaci podle Zásad pro rok 2023, podá žadatel doklady prokazující nárok na dotaci dle těchto Zásad.</w:t>
      </w:r>
    </w:p>
    <w:p w14:paraId="7572408F" w14:textId="77777777" w:rsidR="00D3291B" w:rsidRPr="00E37AD7" w:rsidRDefault="00D3291B" w:rsidP="00D3291B">
      <w:pPr>
        <w:pStyle w:val="Znaeka"/>
        <w:numPr>
          <w:ilvl w:val="0"/>
          <w:numId w:val="8"/>
        </w:numPr>
        <w:spacing w:before="120" w:after="120"/>
        <w:ind w:left="397" w:hanging="397"/>
        <w:rPr>
          <w:rFonts w:ascii="Arial" w:hAnsi="Arial" w:cs="Arial"/>
          <w:color w:val="auto"/>
          <w:szCs w:val="24"/>
        </w:rPr>
      </w:pPr>
      <w:r w:rsidRPr="00E37AD7">
        <w:rPr>
          <w:rFonts w:ascii="Arial" w:hAnsi="Arial" w:cs="Arial"/>
          <w:color w:val="auto"/>
          <w:szCs w:val="24"/>
        </w:rPr>
        <w:t>Není-li u příslušného dotačního programu uvedeno jinak, podávají se veškeré povinné přílohy k dokladům prokazujícím nárok na dotaci prostřednictvím Portálu farmáře Fondu. Originály veškerých povinných příloh k dokladům prokazujícím nárok na dotaci uchovává žadatel.</w:t>
      </w:r>
    </w:p>
    <w:p w14:paraId="3B23B160" w14:textId="77777777" w:rsidR="00D3291B" w:rsidRPr="00E37AD7" w:rsidRDefault="00D3291B" w:rsidP="00D3291B">
      <w:pPr>
        <w:pStyle w:val="Znaeka"/>
        <w:numPr>
          <w:ilvl w:val="0"/>
          <w:numId w:val="12"/>
        </w:numPr>
        <w:spacing w:before="120" w:after="120"/>
        <w:ind w:left="397" w:hanging="397"/>
        <w:rPr>
          <w:rFonts w:ascii="Arial" w:hAnsi="Arial" w:cs="Arial"/>
          <w:color w:val="auto"/>
          <w:szCs w:val="24"/>
        </w:rPr>
      </w:pPr>
      <w:r w:rsidRPr="00E37AD7">
        <w:rPr>
          <w:rFonts w:ascii="Arial" w:hAnsi="Arial" w:cs="Arial"/>
          <w:color w:val="auto"/>
          <w:szCs w:val="24"/>
        </w:rPr>
        <w:t>K dokladům prokazujícím nárok na dotaci doručeným Fondu po stanovené lhůtě se nepřihlíží.</w:t>
      </w:r>
    </w:p>
    <w:p w14:paraId="63587A6D" w14:textId="77777777" w:rsidR="00D3291B" w:rsidRPr="00E37AD7" w:rsidRDefault="00D3291B" w:rsidP="00D3291B">
      <w:pPr>
        <w:pStyle w:val="Znaeka"/>
        <w:numPr>
          <w:ilvl w:val="0"/>
          <w:numId w:val="12"/>
        </w:numPr>
        <w:spacing w:after="120"/>
        <w:ind w:left="397" w:hanging="397"/>
        <w:rPr>
          <w:rFonts w:ascii="Arial" w:hAnsi="Arial" w:cs="Arial"/>
          <w:color w:val="auto"/>
          <w:szCs w:val="24"/>
        </w:rPr>
      </w:pPr>
      <w:r w:rsidRPr="00E37AD7">
        <w:rPr>
          <w:rFonts w:ascii="Arial" w:hAnsi="Arial" w:cs="Arial"/>
          <w:color w:val="auto"/>
          <w:szCs w:val="24"/>
        </w:rPr>
        <w:t>U dotačních programů, u kterých je žadatel zadavatelem podle ZZVZ, podá žadatel prostřednictvím Portálu farmáře příslušné doklady podle tohoto zákona.</w:t>
      </w:r>
    </w:p>
    <w:p w14:paraId="545D9D89"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bookmarkStart w:id="6" w:name="_Hlk151450516"/>
      <w:r w:rsidRPr="00E37AD7">
        <w:rPr>
          <w:rFonts w:ascii="Arial" w:hAnsi="Arial" w:cs="Arial"/>
          <w:b/>
        </w:rPr>
        <w:t>Kontrola dodržování Zásad</w:t>
      </w:r>
    </w:p>
    <w:p w14:paraId="267166DD" w14:textId="77777777" w:rsidR="00D3291B" w:rsidRPr="00E37AD7" w:rsidRDefault="00D3291B" w:rsidP="00D3291B">
      <w:pPr>
        <w:pStyle w:val="Znaeka"/>
        <w:numPr>
          <w:ilvl w:val="0"/>
          <w:numId w:val="20"/>
        </w:numPr>
        <w:spacing w:before="120" w:after="120"/>
        <w:ind w:left="397" w:hanging="397"/>
        <w:rPr>
          <w:rFonts w:ascii="Arial" w:hAnsi="Arial" w:cs="Arial"/>
          <w:color w:val="auto"/>
          <w:szCs w:val="24"/>
        </w:rPr>
      </w:pPr>
      <w:bookmarkStart w:id="7" w:name="_Hlk152573764"/>
      <w:bookmarkEnd w:id="6"/>
      <w:r w:rsidRPr="00E37AD7">
        <w:rPr>
          <w:rFonts w:ascii="Arial" w:hAnsi="Arial" w:cs="Arial"/>
          <w:color w:val="auto"/>
        </w:rPr>
        <w:t xml:space="preserve">Před poskytnutím dotace provádí Fond administrativní kontrolu žádosti o dotaci a dokladů prokazujících nárok na dotaci. </w:t>
      </w:r>
    </w:p>
    <w:p w14:paraId="6783FACF" w14:textId="77777777" w:rsidR="00D3291B" w:rsidRPr="00E37AD7" w:rsidRDefault="00D3291B" w:rsidP="00D3291B">
      <w:pPr>
        <w:pStyle w:val="Znaeka"/>
        <w:numPr>
          <w:ilvl w:val="0"/>
          <w:numId w:val="20"/>
        </w:numPr>
        <w:spacing w:before="120" w:after="120"/>
        <w:ind w:left="397" w:hanging="397"/>
        <w:rPr>
          <w:rFonts w:ascii="Arial" w:eastAsia="Calibri" w:hAnsi="Arial" w:cs="Arial"/>
          <w:color w:val="auto"/>
        </w:rPr>
      </w:pPr>
      <w:r w:rsidRPr="00E37AD7">
        <w:rPr>
          <w:rFonts w:ascii="Arial" w:hAnsi="Arial" w:cs="Arial"/>
          <w:color w:val="auto"/>
        </w:rPr>
        <w:t>Fond nebo specializovaný kontrolní subjekt (např. ČPI) provádí u vybraných žadatelů před vydáním rozhodnutí o poskytnutí dotace kontrolu na místě k ověření plnění podmínek dotace. Po poskytnutí dotace provádí Fond nebo specializovaný kontrolní subjekt u vybraných žadatelů kontrolu na místě z důvodu ověření naplnění účelu, pro který byla dotace poskytnuta.</w:t>
      </w:r>
    </w:p>
    <w:p w14:paraId="4D39BED3" w14:textId="77777777" w:rsidR="00D3291B" w:rsidRPr="00E37AD7" w:rsidRDefault="00D3291B" w:rsidP="00D3291B">
      <w:pPr>
        <w:pStyle w:val="Znaeka"/>
        <w:numPr>
          <w:ilvl w:val="0"/>
          <w:numId w:val="20"/>
        </w:numPr>
        <w:spacing w:before="120" w:after="120"/>
        <w:ind w:left="397" w:hanging="397"/>
        <w:rPr>
          <w:rFonts w:ascii="Arial" w:hAnsi="Arial" w:cs="Arial"/>
          <w:color w:val="auto"/>
        </w:rPr>
      </w:pPr>
      <w:r w:rsidRPr="00E37AD7">
        <w:rPr>
          <w:rFonts w:ascii="Arial" w:hAnsi="Arial" w:cs="Arial"/>
          <w:color w:val="auto"/>
        </w:rPr>
        <w:t>Pokud žadatel neumožní kontrolu některé z podmínek pro poskytnutí dotace, považuje se tato podmínka za nesplněnou.</w:t>
      </w:r>
    </w:p>
    <w:p w14:paraId="3B5A8682" w14:textId="77777777" w:rsidR="00D3291B" w:rsidRPr="00E37AD7" w:rsidRDefault="00D3291B" w:rsidP="00D3291B">
      <w:pPr>
        <w:pStyle w:val="Znaeka"/>
        <w:numPr>
          <w:ilvl w:val="0"/>
          <w:numId w:val="20"/>
        </w:numPr>
        <w:spacing w:before="120" w:after="120"/>
        <w:ind w:left="397" w:hanging="397"/>
        <w:rPr>
          <w:rFonts w:ascii="Arial" w:hAnsi="Arial" w:cs="Arial"/>
          <w:color w:val="auto"/>
        </w:rPr>
      </w:pPr>
      <w:r w:rsidRPr="00E37AD7">
        <w:rPr>
          <w:rFonts w:ascii="Arial" w:hAnsi="Arial" w:cs="Arial"/>
          <w:color w:val="auto"/>
        </w:rPr>
        <w:t xml:space="preserve">Pokud žadatel nebo jeho zástupce zabrání provedení kontroly na místě před vydáním rozhodnutí, Fond </w:t>
      </w:r>
      <w:bookmarkStart w:id="8" w:name="__DdeLink__29637_657628021"/>
      <w:bookmarkEnd w:id="8"/>
      <w:r w:rsidRPr="00E37AD7">
        <w:rPr>
          <w:rFonts w:ascii="Arial" w:hAnsi="Arial" w:cs="Arial"/>
          <w:color w:val="auto"/>
        </w:rPr>
        <w:t>žádost o dotaci zamítne.</w:t>
      </w:r>
    </w:p>
    <w:p w14:paraId="1AE70B9C" w14:textId="77777777" w:rsidR="00D3291B" w:rsidRPr="00E37AD7" w:rsidRDefault="00D3291B" w:rsidP="00D3291B">
      <w:pPr>
        <w:pStyle w:val="Znaeka"/>
        <w:numPr>
          <w:ilvl w:val="0"/>
          <w:numId w:val="20"/>
        </w:numPr>
        <w:spacing w:before="120" w:after="120"/>
        <w:ind w:left="397" w:hanging="397"/>
        <w:rPr>
          <w:rFonts w:ascii="Arial" w:hAnsi="Arial" w:cs="Arial"/>
          <w:color w:val="auto"/>
        </w:rPr>
      </w:pPr>
      <w:r w:rsidRPr="00E37AD7">
        <w:rPr>
          <w:rFonts w:ascii="Arial" w:hAnsi="Arial" w:cs="Arial"/>
          <w:color w:val="auto"/>
        </w:rPr>
        <w:t>Pokud žadatel nebo jeho zástupce zabrání provedení kontroly na místě po vydání rozhodnutí a vyplacení dotace, Fond zahájí řízení o vrácení již poskytnuté dotace.</w:t>
      </w:r>
    </w:p>
    <w:p w14:paraId="2CB5261B" w14:textId="77777777" w:rsidR="00D3291B" w:rsidRPr="00E37AD7" w:rsidRDefault="00D3291B" w:rsidP="00D3291B">
      <w:pPr>
        <w:pStyle w:val="Znaeka"/>
        <w:numPr>
          <w:ilvl w:val="0"/>
          <w:numId w:val="20"/>
        </w:numPr>
        <w:spacing w:before="120" w:after="120"/>
        <w:ind w:left="397" w:hanging="397"/>
        <w:rPr>
          <w:rFonts w:ascii="Arial" w:hAnsi="Arial" w:cs="Arial"/>
          <w:color w:val="auto"/>
        </w:rPr>
      </w:pPr>
      <w:r w:rsidRPr="00E37AD7">
        <w:rPr>
          <w:rFonts w:ascii="Arial" w:hAnsi="Arial" w:cs="Arial"/>
          <w:color w:val="auto"/>
        </w:rPr>
        <w:t>Ustanovení písm. b) - e) platí obdobně i pro konečné příjemce dotace v případech dotačních programů, kde je konečným příjemcem dotace osoba odlišná od žadatele (jímž je uznané chovatelské sdružení či jiný obdobný subjekt, jehož prostřednictvím žádají koneční příjemci o dotaci).</w:t>
      </w:r>
    </w:p>
    <w:bookmarkEnd w:id="7"/>
    <w:p w14:paraId="3C83A9C2"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r w:rsidRPr="00E37AD7">
        <w:rPr>
          <w:rFonts w:ascii="Arial" w:hAnsi="Arial" w:cs="Arial"/>
          <w:b/>
        </w:rPr>
        <w:t>Rozhodnutí o poskytnutí dotace</w:t>
      </w:r>
    </w:p>
    <w:p w14:paraId="22144A0D" w14:textId="77777777" w:rsidR="00D3291B" w:rsidRPr="00E37AD7" w:rsidRDefault="00D3291B" w:rsidP="00D3291B">
      <w:pPr>
        <w:pStyle w:val="Znaeka"/>
        <w:numPr>
          <w:ilvl w:val="0"/>
          <w:numId w:val="9"/>
        </w:numPr>
        <w:spacing w:before="120" w:after="120"/>
        <w:ind w:left="397" w:hanging="397"/>
        <w:rPr>
          <w:rFonts w:ascii="Arial" w:hAnsi="Arial" w:cs="Arial"/>
          <w:color w:val="auto"/>
          <w:szCs w:val="24"/>
        </w:rPr>
      </w:pPr>
      <w:r w:rsidRPr="00E37AD7">
        <w:rPr>
          <w:rFonts w:ascii="Arial" w:hAnsi="Arial" w:cs="Arial"/>
          <w:color w:val="auto"/>
          <w:szCs w:val="24"/>
        </w:rPr>
        <w:lastRenderedPageBreak/>
        <w:t>Při poskytování dotací postupuje Fond podle zákona o zemědělství, zákona o Státním zemědělském intervenčním fondu, správního řádu, Zásad a příslušných právních předpisů EU.</w:t>
      </w:r>
    </w:p>
    <w:p w14:paraId="7F698EA4" w14:textId="77777777" w:rsidR="00D3291B" w:rsidRPr="00E37AD7" w:rsidRDefault="00D3291B" w:rsidP="00D3291B">
      <w:pPr>
        <w:pStyle w:val="Znaeka"/>
        <w:numPr>
          <w:ilvl w:val="0"/>
          <w:numId w:val="9"/>
        </w:numPr>
        <w:spacing w:before="120" w:after="120"/>
        <w:ind w:left="397" w:hanging="397"/>
        <w:rPr>
          <w:rFonts w:ascii="Arial" w:hAnsi="Arial" w:cs="Arial"/>
          <w:color w:val="auto"/>
          <w:szCs w:val="24"/>
        </w:rPr>
      </w:pPr>
      <w:r w:rsidRPr="00E37AD7">
        <w:rPr>
          <w:rFonts w:ascii="Arial" w:hAnsi="Arial" w:cs="Arial"/>
          <w:color w:val="auto"/>
          <w:szCs w:val="24"/>
        </w:rPr>
        <w:t>Na dotaci není právní nárok.</w:t>
      </w:r>
    </w:p>
    <w:p w14:paraId="0F921315" w14:textId="77777777" w:rsidR="00D3291B" w:rsidRPr="00E37AD7" w:rsidRDefault="00D3291B" w:rsidP="00D3291B">
      <w:pPr>
        <w:pStyle w:val="Znaeka"/>
        <w:numPr>
          <w:ilvl w:val="0"/>
          <w:numId w:val="9"/>
        </w:numPr>
        <w:spacing w:before="120" w:after="120"/>
        <w:ind w:left="397" w:hanging="397"/>
        <w:rPr>
          <w:rFonts w:ascii="Arial" w:hAnsi="Arial" w:cs="Arial"/>
          <w:color w:val="auto"/>
          <w:szCs w:val="24"/>
        </w:rPr>
      </w:pPr>
      <w:r w:rsidRPr="00E37AD7">
        <w:rPr>
          <w:rFonts w:ascii="Arial" w:hAnsi="Arial" w:cs="Arial"/>
          <w:color w:val="auto"/>
          <w:szCs w:val="24"/>
        </w:rPr>
        <w:t>Fond řízení o dotaci zastaví v případě:</w:t>
      </w:r>
    </w:p>
    <w:p w14:paraId="71F2B683" w14:textId="77777777" w:rsidR="00D3291B" w:rsidRPr="00E37AD7" w:rsidRDefault="00D3291B" w:rsidP="00D3291B">
      <w:pPr>
        <w:pStyle w:val="Znaeka"/>
        <w:numPr>
          <w:ilvl w:val="1"/>
          <w:numId w:val="10"/>
        </w:numPr>
        <w:spacing w:after="120"/>
        <w:ind w:left="714" w:hanging="357"/>
        <w:rPr>
          <w:rFonts w:ascii="Arial" w:hAnsi="Arial" w:cs="Arial"/>
          <w:color w:val="auto"/>
          <w:szCs w:val="24"/>
        </w:rPr>
      </w:pPr>
      <w:r w:rsidRPr="00E37AD7">
        <w:rPr>
          <w:rFonts w:ascii="Arial" w:hAnsi="Arial" w:cs="Arial"/>
          <w:color w:val="auto"/>
          <w:szCs w:val="24"/>
        </w:rPr>
        <w:t>že nebudou pro příslušný rok na dotační program vyčleněny finanční prostředky ze státního rozpočtu České republiky;</w:t>
      </w:r>
    </w:p>
    <w:p w14:paraId="0750AE0A" w14:textId="77777777" w:rsidR="00D3291B" w:rsidRPr="00E37AD7" w:rsidRDefault="00D3291B" w:rsidP="00D3291B">
      <w:pPr>
        <w:pStyle w:val="Znaeka"/>
        <w:numPr>
          <w:ilvl w:val="1"/>
          <w:numId w:val="10"/>
        </w:numPr>
        <w:spacing w:after="0"/>
        <w:ind w:left="714" w:hanging="357"/>
        <w:rPr>
          <w:rFonts w:ascii="Arial" w:hAnsi="Arial" w:cs="Arial"/>
          <w:color w:val="auto"/>
          <w:szCs w:val="24"/>
        </w:rPr>
      </w:pPr>
      <w:r w:rsidRPr="00E37AD7">
        <w:rPr>
          <w:rFonts w:ascii="Arial" w:hAnsi="Arial" w:cs="Arial"/>
          <w:color w:val="auto"/>
          <w:szCs w:val="24"/>
        </w:rPr>
        <w:t>zemře-li žadatel nebo zanikl-li subjekt před vydáním rozhodnutí, pokud v řízení nepokračují právní nástupci (</w:t>
      </w:r>
      <w:r w:rsidRPr="00E37AD7">
        <w:rPr>
          <w:rFonts w:ascii="Arial" w:hAnsi="Arial" w:cs="Arial"/>
          <w:bCs/>
          <w:color w:val="auto"/>
          <w:szCs w:val="24"/>
        </w:rPr>
        <w:t>splňující podmínky právního nástupnictví uvedené v § 2g odst. 3 zákona č. 252/1997 Sb., o zemědělství, ve znění pozdějších předpisů)</w:t>
      </w:r>
      <w:r w:rsidRPr="00E37AD7">
        <w:rPr>
          <w:rFonts w:ascii="Arial" w:hAnsi="Arial" w:cs="Arial"/>
          <w:color w:val="auto"/>
          <w:szCs w:val="24"/>
        </w:rPr>
        <w:t>.</w:t>
      </w:r>
    </w:p>
    <w:p w14:paraId="3D315F38" w14:textId="77777777" w:rsidR="00D3291B" w:rsidRPr="00E37AD7" w:rsidRDefault="00D3291B" w:rsidP="00D3291B">
      <w:pPr>
        <w:pStyle w:val="Znaeka"/>
        <w:numPr>
          <w:ilvl w:val="0"/>
          <w:numId w:val="9"/>
        </w:numPr>
        <w:spacing w:before="120" w:after="120"/>
        <w:ind w:left="397" w:hanging="397"/>
        <w:rPr>
          <w:rFonts w:ascii="Arial" w:hAnsi="Arial" w:cs="Arial"/>
          <w:color w:val="auto"/>
          <w:szCs w:val="24"/>
        </w:rPr>
      </w:pPr>
      <w:r w:rsidRPr="00E37AD7">
        <w:rPr>
          <w:rFonts w:ascii="Arial" w:hAnsi="Arial" w:cs="Arial"/>
          <w:color w:val="auto"/>
          <w:szCs w:val="24"/>
        </w:rPr>
        <w:t xml:space="preserve">Fond žádost o dotaci zamítne </w:t>
      </w:r>
      <w:r w:rsidRPr="00E37AD7">
        <w:rPr>
          <w:rStyle w:val="ui-provider"/>
          <w:rFonts w:ascii="Arial" w:hAnsi="Arial" w:cs="Arial"/>
          <w:color w:val="auto"/>
          <w:szCs w:val="24"/>
        </w:rPr>
        <w:t>nebo částku dotace sníží (připouští-li to Zásady)</w:t>
      </w:r>
      <w:r w:rsidRPr="00E37AD7">
        <w:rPr>
          <w:rStyle w:val="ui-provider"/>
          <w:color w:val="auto"/>
          <w:szCs w:val="24"/>
        </w:rPr>
        <w:t> </w:t>
      </w:r>
      <w:r w:rsidRPr="00E37AD7">
        <w:rPr>
          <w:rFonts w:ascii="Arial" w:hAnsi="Arial" w:cs="Arial"/>
          <w:color w:val="auto"/>
          <w:szCs w:val="24"/>
        </w:rPr>
        <w:t>v případě, že nebudou splněny podmínky uvedené v příslušných předpisech dle písmene a) tohoto bodu.</w:t>
      </w:r>
    </w:p>
    <w:p w14:paraId="2A1EB9EB" w14:textId="77777777" w:rsidR="00D3291B" w:rsidRPr="00E37AD7" w:rsidRDefault="00D3291B" w:rsidP="00D3291B">
      <w:pPr>
        <w:pStyle w:val="Znaeka"/>
        <w:numPr>
          <w:ilvl w:val="0"/>
          <w:numId w:val="9"/>
        </w:numPr>
        <w:spacing w:before="120" w:after="120"/>
        <w:ind w:left="397" w:hanging="397"/>
        <w:rPr>
          <w:rFonts w:ascii="Arial" w:hAnsi="Arial" w:cs="Arial"/>
          <w:strike/>
          <w:color w:val="auto"/>
          <w:szCs w:val="24"/>
        </w:rPr>
      </w:pPr>
      <w:r w:rsidRPr="00E37AD7">
        <w:rPr>
          <w:rFonts w:ascii="Arial" w:hAnsi="Arial" w:cs="Arial"/>
          <w:color w:val="auto"/>
          <w:szCs w:val="24"/>
        </w:rPr>
        <w:t>Dotace se poskytuje převodem na bankovní účet uvedený žadatelem v žádosti o dotaci.</w:t>
      </w:r>
    </w:p>
    <w:p w14:paraId="77CF264A"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bookmarkStart w:id="9" w:name="_Hlk151454504"/>
      <w:r w:rsidRPr="00E37AD7">
        <w:rPr>
          <w:rFonts w:ascii="Arial" w:hAnsi="Arial" w:cs="Arial"/>
          <w:b/>
        </w:rPr>
        <w:t>Vrácení dotace</w:t>
      </w:r>
    </w:p>
    <w:p w14:paraId="60FCCE61" w14:textId="77777777" w:rsidR="00D3291B" w:rsidRPr="00E37AD7" w:rsidRDefault="00D3291B" w:rsidP="00D3291B">
      <w:pPr>
        <w:pStyle w:val="Znaeka"/>
        <w:numPr>
          <w:ilvl w:val="0"/>
          <w:numId w:val="18"/>
        </w:numPr>
        <w:spacing w:before="120" w:after="0"/>
        <w:ind w:left="397" w:hanging="397"/>
        <w:rPr>
          <w:rFonts w:ascii="Arial" w:hAnsi="Arial" w:cs="Arial"/>
          <w:color w:val="auto"/>
          <w:szCs w:val="24"/>
        </w:rPr>
      </w:pPr>
      <w:r w:rsidRPr="00E37AD7">
        <w:rPr>
          <w:rFonts w:ascii="Arial" w:hAnsi="Arial" w:cs="Arial"/>
          <w:color w:val="auto"/>
          <w:szCs w:val="24"/>
        </w:rPr>
        <w:t>Fond s žadatelem zahájí řízení o vrácení již poskytnuté dotace v případě, že:</w:t>
      </w:r>
    </w:p>
    <w:p w14:paraId="5D8655D9" w14:textId="77777777" w:rsidR="00D3291B" w:rsidRPr="00E37AD7" w:rsidRDefault="00D3291B" w:rsidP="00D3291B">
      <w:pPr>
        <w:pStyle w:val="Znaeka"/>
        <w:numPr>
          <w:ilvl w:val="0"/>
          <w:numId w:val="11"/>
        </w:numPr>
        <w:spacing w:before="120" w:after="0"/>
        <w:ind w:left="714" w:hanging="357"/>
        <w:rPr>
          <w:rFonts w:ascii="Arial" w:hAnsi="Arial" w:cs="Arial"/>
          <w:color w:val="auto"/>
          <w:szCs w:val="24"/>
        </w:rPr>
      </w:pPr>
      <w:r w:rsidRPr="00E37AD7">
        <w:rPr>
          <w:rFonts w:ascii="Arial" w:hAnsi="Arial" w:cs="Arial"/>
          <w:color w:val="auto"/>
          <w:szCs w:val="24"/>
        </w:rPr>
        <w:t>Fond zjistí, že dotace byla žadateli poskytnuta na základě uvedení neúplných nebo nepravdivých údajů;</w:t>
      </w:r>
    </w:p>
    <w:p w14:paraId="05985448" w14:textId="77777777" w:rsidR="00D3291B" w:rsidRPr="00E37AD7" w:rsidRDefault="00D3291B" w:rsidP="00D3291B">
      <w:pPr>
        <w:pStyle w:val="Znaeka"/>
        <w:numPr>
          <w:ilvl w:val="0"/>
          <w:numId w:val="11"/>
        </w:numPr>
        <w:spacing w:before="120" w:after="120"/>
        <w:ind w:left="714" w:hanging="357"/>
        <w:rPr>
          <w:rFonts w:ascii="Arial" w:hAnsi="Arial" w:cs="Arial"/>
          <w:color w:val="auto"/>
          <w:szCs w:val="24"/>
        </w:rPr>
      </w:pPr>
      <w:r w:rsidRPr="00E37AD7">
        <w:rPr>
          <w:rFonts w:ascii="Arial" w:hAnsi="Arial" w:cs="Arial"/>
          <w:color w:val="auto"/>
          <w:szCs w:val="24"/>
        </w:rPr>
        <w:t>Fond zjistí, že žadatel nesplnil nebo porušil obecné podmínky nebo podmínky stanovené pro příslušný dotační program, nebo že nedošlo k naplnění účelu, pro který byla dotace poskytnuta.</w:t>
      </w:r>
    </w:p>
    <w:p w14:paraId="3FE5F798" w14:textId="77777777" w:rsidR="00D3291B" w:rsidRPr="00E37AD7" w:rsidRDefault="00D3291B" w:rsidP="00D3291B">
      <w:pPr>
        <w:pStyle w:val="Znaeka"/>
        <w:numPr>
          <w:ilvl w:val="0"/>
          <w:numId w:val="18"/>
        </w:numPr>
        <w:spacing w:before="120" w:after="0"/>
        <w:ind w:left="397" w:hanging="397"/>
        <w:rPr>
          <w:rFonts w:ascii="Arial" w:hAnsi="Arial" w:cs="Arial"/>
          <w:color w:val="auto"/>
          <w:szCs w:val="24"/>
        </w:rPr>
      </w:pPr>
      <w:r w:rsidRPr="00E37AD7">
        <w:rPr>
          <w:rFonts w:ascii="Arial" w:hAnsi="Arial" w:cs="Arial"/>
          <w:color w:val="auto"/>
          <w:szCs w:val="24"/>
        </w:rPr>
        <w:t>V programech, kde je konečným příjemcem dotace osoba odlišná od žadatele (jímž je uznané chovatelské sdružení či jiný obdobný subjekt, jehož prostřednictvím žádají koneční příjemci o dotaci), vede Fond řízení o vrácení poskytnuté dotace přímo s konečným příjemcem, u něhož nastala některá ze skutečností uvedených v písm. a).</w:t>
      </w:r>
    </w:p>
    <w:bookmarkEnd w:id="9"/>
    <w:p w14:paraId="745846DA"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r w:rsidRPr="00E37AD7">
        <w:rPr>
          <w:rFonts w:ascii="Arial" w:hAnsi="Arial" w:cs="Arial"/>
          <w:b/>
        </w:rPr>
        <w:t>Závěrečná ustanovení</w:t>
      </w:r>
    </w:p>
    <w:p w14:paraId="79A301B8" w14:textId="77777777" w:rsidR="00D3291B" w:rsidRPr="00E37AD7" w:rsidRDefault="00D3291B" w:rsidP="00D3291B">
      <w:pPr>
        <w:pStyle w:val="Znaeka"/>
        <w:spacing w:before="120" w:after="120"/>
        <w:ind w:left="0"/>
        <w:rPr>
          <w:rFonts w:ascii="Arial" w:eastAsia="Calibri" w:hAnsi="Arial" w:cs="Arial"/>
          <w:color w:val="auto"/>
          <w:szCs w:val="24"/>
          <w:lang w:eastAsia="en-US"/>
        </w:rPr>
      </w:pPr>
      <w:r w:rsidRPr="00E37AD7">
        <w:rPr>
          <w:rFonts w:ascii="Arial" w:eastAsia="Calibri" w:hAnsi="Arial" w:cs="Arial"/>
          <w:color w:val="auto"/>
          <w:szCs w:val="24"/>
          <w:lang w:eastAsia="en-US"/>
        </w:rPr>
        <w:t xml:space="preserve">Fond je povinen zaznamenávat do centrálního evidenčního systému veřejných podpor údaje o veřejné podpoře poskytnuté na základě nařízení Komise (EU) 2022/2472, nařízení Komise (EU) 2022/2473, nařízení Komise (EU) č. 651/2014, pokynů ke státní podpoře v odvětvích zemědělství a lesnictví a ve venkovských oblastech, nebo pokynů ke státní podpoře v odvětví rybolovu a akvakultury, a to do 6 měsíců ode dne poskytnutí této podpory. Tato povinnost se vztahuje na každou jednotlivou podporu, která přesáhne částku 10 000 EUR u příjemců z odvětví zemědělské prvovýroby nebo z odvětví rybolovu a akvakultury či částku 100 000 EUR u příjemců ze všech ostatních odvětví. </w:t>
      </w:r>
    </w:p>
    <w:p w14:paraId="7D85D8AA" w14:textId="77777777" w:rsidR="00D3291B" w:rsidRPr="00E37AD7" w:rsidRDefault="00D3291B" w:rsidP="00D3291B">
      <w:pPr>
        <w:pStyle w:val="Znaeka"/>
        <w:spacing w:before="120" w:after="120"/>
        <w:ind w:left="0"/>
        <w:rPr>
          <w:rFonts w:ascii="Arial" w:eastAsia="Calibri" w:hAnsi="Arial" w:cs="Arial"/>
          <w:color w:val="auto"/>
          <w:szCs w:val="24"/>
          <w:lang w:eastAsia="en-US"/>
        </w:rPr>
      </w:pPr>
      <w:bookmarkStart w:id="10" w:name="_Hlk152578161"/>
      <w:r w:rsidRPr="00E37AD7">
        <w:rPr>
          <w:rFonts w:ascii="Arial" w:eastAsia="Calibri" w:hAnsi="Arial" w:cs="Arial"/>
          <w:color w:val="auto"/>
          <w:szCs w:val="24"/>
          <w:lang w:eastAsia="en-US"/>
        </w:rPr>
        <w:t xml:space="preserve">V případě, že Komise požaduje v rámci notifikačního procesu změnu nebo změnu podmínek nastavení dotačního programu schválí, vyhrazuje si MZe právo upravit dotační program dle jejího požadavku nebo schválení změny podmínek. </w:t>
      </w:r>
    </w:p>
    <w:p w14:paraId="12D5F675" w14:textId="77777777" w:rsidR="00D3291B" w:rsidRPr="00E37AD7" w:rsidRDefault="00D3291B" w:rsidP="00D3291B">
      <w:pPr>
        <w:jc w:val="both"/>
        <w:rPr>
          <w:rFonts w:ascii="Calibri" w:hAnsi="Calibri"/>
          <w:sz w:val="24"/>
          <w:szCs w:val="24"/>
        </w:rPr>
      </w:pPr>
      <w:bookmarkStart w:id="11" w:name="_Hlk150954068"/>
      <w:bookmarkEnd w:id="10"/>
      <w:r w:rsidRPr="00E37AD7">
        <w:rPr>
          <w:sz w:val="24"/>
          <w:szCs w:val="24"/>
        </w:rPr>
        <w:lastRenderedPageBreak/>
        <w:t>Pokud Komise shledá dotační program či podprogram neslučitelným se společným trhem podle čl. 108 odst. 2 SFEU a rozhodne o jeho zrušení či úpravě, vyhrazuje si MZe dotační program/podprogram upravit/nerealizovat.</w:t>
      </w:r>
    </w:p>
    <w:bookmarkEnd w:id="11"/>
    <w:p w14:paraId="355CB45B" w14:textId="77777777" w:rsidR="00D3291B" w:rsidRPr="00E37AD7" w:rsidRDefault="00D3291B" w:rsidP="00D3291B">
      <w:pPr>
        <w:pStyle w:val="Znaeka"/>
        <w:spacing w:before="120" w:after="0"/>
        <w:ind w:left="0"/>
        <w:rPr>
          <w:rFonts w:ascii="Arial" w:hAnsi="Arial" w:cs="Arial"/>
          <w:color w:val="auto"/>
          <w:szCs w:val="24"/>
        </w:rPr>
      </w:pPr>
      <w:r w:rsidRPr="00E37AD7">
        <w:rPr>
          <w:rFonts w:ascii="Arial" w:hAnsi="Arial" w:cs="Arial"/>
          <w:color w:val="auto"/>
          <w:szCs w:val="24"/>
        </w:rPr>
        <w:t>Fond si vyhrazuje právo na základě rozhodnutí MZe z důvodu nedostatku finančních prostředků příslušný dotační program nerealizovat.</w:t>
      </w:r>
    </w:p>
    <w:p w14:paraId="407FD655" w14:textId="77777777" w:rsidR="00D3291B" w:rsidRPr="00E37AD7" w:rsidRDefault="00D3291B" w:rsidP="00D3291B">
      <w:pPr>
        <w:pStyle w:val="Znaeka"/>
        <w:spacing w:before="120" w:after="0"/>
        <w:ind w:left="0"/>
        <w:rPr>
          <w:rFonts w:ascii="Arial" w:hAnsi="Arial" w:cs="Arial"/>
          <w:color w:val="auto"/>
          <w:szCs w:val="24"/>
        </w:rPr>
      </w:pPr>
      <w:r w:rsidRPr="00E37AD7">
        <w:rPr>
          <w:rFonts w:ascii="Arial" w:hAnsi="Arial" w:cs="Arial"/>
          <w:color w:val="auto"/>
          <w:szCs w:val="24"/>
        </w:rPr>
        <w:t>V odůvodněných případech může MZe provést zpřesnění těchto Zásad v průběhu roku.</w:t>
      </w:r>
    </w:p>
    <w:p w14:paraId="034E5B77" w14:textId="77777777" w:rsidR="00D3291B" w:rsidRPr="00E37AD7" w:rsidRDefault="00D3291B" w:rsidP="00D3291B">
      <w:pPr>
        <w:pStyle w:val="Odstavecseseznamem"/>
        <w:numPr>
          <w:ilvl w:val="0"/>
          <w:numId w:val="5"/>
        </w:numPr>
        <w:spacing w:before="240" w:after="240"/>
        <w:ind w:left="1077" w:hanging="357"/>
        <w:contextualSpacing w:val="0"/>
        <w:jc w:val="center"/>
        <w:rPr>
          <w:rFonts w:ascii="Arial" w:hAnsi="Arial" w:cs="Arial"/>
        </w:rPr>
      </w:pPr>
      <w:r w:rsidRPr="00E37AD7">
        <w:rPr>
          <w:rFonts w:ascii="Arial" w:hAnsi="Arial" w:cs="Arial"/>
        </w:rPr>
        <w:br w:type="page"/>
      </w:r>
      <w:r w:rsidRPr="00E37AD7">
        <w:rPr>
          <w:rFonts w:ascii="Arial" w:hAnsi="Arial" w:cs="Arial"/>
          <w:b/>
        </w:rPr>
        <w:lastRenderedPageBreak/>
        <w:t>Výklad zkratek</w:t>
      </w:r>
    </w:p>
    <w:p w14:paraId="70179CE0" w14:textId="77777777" w:rsidR="00D3291B" w:rsidRPr="00E37AD7" w:rsidRDefault="00D3291B" w:rsidP="00D3291B">
      <w:pPr>
        <w:pStyle w:val="Default"/>
        <w:spacing w:before="120"/>
        <w:rPr>
          <w:rFonts w:ascii="Arial" w:hAnsi="Arial" w:cs="Arial"/>
          <w:color w:val="auto"/>
        </w:rPr>
      </w:pPr>
      <w:r w:rsidRPr="00E37AD7">
        <w:rPr>
          <w:rFonts w:ascii="Arial" w:hAnsi="Arial" w:cs="Arial"/>
          <w:color w:val="auto"/>
        </w:rPr>
        <w:t>Pro účely Zásad se rozumí:</w:t>
      </w:r>
    </w:p>
    <w:p w14:paraId="54EA2381"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DPB – díl půdního bloku,</w:t>
      </w:r>
    </w:p>
    <w:p w14:paraId="3560EC72"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FO – fyzická osoba,</w:t>
      </w:r>
    </w:p>
    <w:p w14:paraId="625BB06C"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HPK – hlavní plemenná kniha,</w:t>
      </w:r>
    </w:p>
    <w:p w14:paraId="728C055C"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 xml:space="preserve">IZR – </w:t>
      </w:r>
      <w:r w:rsidRPr="00E37AD7">
        <w:rPr>
          <w:rFonts w:ascii="Arial" w:hAnsi="Arial" w:cs="Arial"/>
          <w:lang w:val="cs-CZ"/>
        </w:rPr>
        <w:t>Integrovaný zemědělský registr,</w:t>
      </w:r>
    </w:p>
    <w:p w14:paraId="00B68A5E"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KD – kontrola dědičnosti,</w:t>
      </w:r>
    </w:p>
    <w:p w14:paraId="75E6FA02"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KU – kontrola užitkovosti,</w:t>
      </w:r>
    </w:p>
    <w:p w14:paraId="391211F8"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lang w:val="cs-CZ"/>
        </w:rPr>
        <w:t>ČPI</w:t>
      </w:r>
      <w:r w:rsidRPr="00E37AD7">
        <w:rPr>
          <w:rFonts w:ascii="Arial" w:hAnsi="Arial" w:cs="Arial"/>
          <w:iCs/>
        </w:rPr>
        <w:t xml:space="preserve"> –</w:t>
      </w:r>
      <w:r w:rsidRPr="00E37AD7">
        <w:rPr>
          <w:rFonts w:ascii="Arial" w:hAnsi="Arial" w:cs="Arial"/>
          <w:iCs/>
          <w:lang w:val="cs-CZ"/>
        </w:rPr>
        <w:t xml:space="preserve"> </w:t>
      </w:r>
      <w:r w:rsidRPr="00E37AD7">
        <w:rPr>
          <w:rFonts w:ascii="Arial" w:hAnsi="Arial" w:cs="Arial"/>
        </w:rPr>
        <w:t>Česká plemenářská inspekce</w:t>
      </w:r>
      <w:r w:rsidRPr="00E37AD7">
        <w:rPr>
          <w:rFonts w:ascii="Arial" w:hAnsi="Arial" w:cs="Arial"/>
          <w:lang w:val="cs-CZ"/>
        </w:rPr>
        <w:t>,</w:t>
      </w:r>
    </w:p>
    <w:p w14:paraId="0548240D"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LPIS – Registr půdy – evidence využití půdy podle uživatelských vztahů,</w:t>
      </w:r>
    </w:p>
    <w:p w14:paraId="3B9BA8BE"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nařízení (EU) č. 508/2014 – nařízení Evropského parlamentu a Rady (EU)</w:t>
      </w:r>
      <w:r w:rsidRPr="00E37AD7">
        <w:rPr>
          <w:rFonts w:ascii="Arial" w:hAnsi="Arial" w:cs="Arial"/>
          <w:lang w:val="cs-CZ"/>
        </w:rPr>
        <w:t xml:space="preserve"> </w:t>
      </w:r>
      <w:r w:rsidRPr="00E37AD7">
        <w:rPr>
          <w:rFonts w:ascii="Arial" w:hAnsi="Arial" w:cs="Arial"/>
        </w:rPr>
        <w:t>č.</w:t>
      </w:r>
      <w:r w:rsidRPr="00E37AD7">
        <w:rPr>
          <w:rFonts w:ascii="Arial" w:hAnsi="Arial" w:cs="Arial"/>
          <w:lang w:val="cs-CZ"/>
        </w:rPr>
        <w:t> </w:t>
      </w:r>
      <w:r w:rsidRPr="00E37AD7">
        <w:rPr>
          <w:rFonts w:ascii="Arial" w:hAnsi="Arial" w:cs="Arial"/>
        </w:rPr>
        <w:t>508/2014, o Evropském námořním a rybářském fondu a o zrušení nařízení Rady (ES) č. </w:t>
      </w:r>
      <w:r w:rsidRPr="00E37AD7">
        <w:rPr>
          <w:rFonts w:ascii="Arial" w:hAnsi="Arial" w:cs="Arial"/>
          <w:iCs/>
        </w:rPr>
        <w:t>2328/2003, (ES) č. 861/2006, (ES) č. 1198/2006 a (ES) č. 791/2007</w:t>
      </w:r>
      <w:r w:rsidRPr="00E37AD7">
        <w:rPr>
          <w:rFonts w:ascii="Arial" w:hAnsi="Arial" w:cs="Arial"/>
          <w:iCs/>
          <w:lang w:val="cs-CZ"/>
        </w:rPr>
        <w:t xml:space="preserve"> </w:t>
      </w:r>
      <w:r w:rsidRPr="00E37AD7">
        <w:rPr>
          <w:rFonts w:ascii="Arial" w:hAnsi="Arial" w:cs="Arial"/>
          <w:iCs/>
        </w:rPr>
        <w:t>a nařízení Evropského parlamentu a Rady (EU) č. 1255/2011,</w:t>
      </w:r>
    </w:p>
    <w:p w14:paraId="5DA54655"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NOPRM – Národní ozdravovací program pro ozdravení rozmnožovacího materiálu ovocných rostlin, révy a chmele v České republice od hospodářsky významných škodlivých organismů rostlin,</w:t>
      </w:r>
    </w:p>
    <w:p w14:paraId="28880565"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PK – plemenná kniha,</w:t>
      </w:r>
    </w:p>
    <w:p w14:paraId="0543B75B"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PO – právnická osoba,</w:t>
      </w:r>
    </w:p>
    <w:p w14:paraId="11DDD25D"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SISPO – Svaz pro integrované systémy pěstování ovoce,</w:t>
      </w:r>
    </w:p>
    <w:p w14:paraId="05DBE506"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 xml:space="preserve">správní řád </w:t>
      </w:r>
      <w:r w:rsidRPr="00E37AD7">
        <w:rPr>
          <w:rFonts w:ascii="Arial" w:hAnsi="Arial" w:cs="Arial"/>
          <w:lang w:val="cs-CZ"/>
        </w:rPr>
        <w:t>–</w:t>
      </w:r>
      <w:r w:rsidRPr="00E37AD7">
        <w:rPr>
          <w:rFonts w:ascii="Arial" w:hAnsi="Arial" w:cs="Arial"/>
        </w:rPr>
        <w:t xml:space="preserve"> </w:t>
      </w:r>
      <w:r w:rsidRPr="00E37AD7">
        <w:rPr>
          <w:rFonts w:ascii="Arial" w:hAnsi="Arial" w:cs="Arial"/>
          <w:lang w:eastAsia="cs-CZ"/>
        </w:rPr>
        <w:t>zákon č. 500/2004 Sb., správní řád, ve znění pozdějších předpisů</w:t>
      </w:r>
      <w:r w:rsidRPr="00E37AD7">
        <w:rPr>
          <w:rFonts w:ascii="Arial" w:hAnsi="Arial" w:cs="Arial"/>
          <w:lang w:val="cs-CZ" w:eastAsia="cs-CZ"/>
        </w:rPr>
        <w:t>,</w:t>
      </w:r>
    </w:p>
    <w:p w14:paraId="5FEDC33C"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ÚKZÚZ – Ústřední kontrolní a zkušební ústav zemědělský,</w:t>
      </w:r>
    </w:p>
    <w:p w14:paraId="3F67CD82"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lang w:val="cs-CZ"/>
        </w:rPr>
        <w:t xml:space="preserve">VJ </w:t>
      </w:r>
      <w:r w:rsidRPr="00E37AD7">
        <w:rPr>
          <w:rFonts w:ascii="Arial" w:hAnsi="Arial" w:cs="Arial"/>
          <w:iCs/>
        </w:rPr>
        <w:t>–</w:t>
      </w:r>
      <w:r w:rsidRPr="00E37AD7">
        <w:rPr>
          <w:rFonts w:ascii="Arial" w:hAnsi="Arial" w:cs="Arial"/>
          <w:iCs/>
          <w:lang w:val="cs-CZ"/>
        </w:rPr>
        <w:t xml:space="preserve"> výsevní jednotka,</w:t>
      </w:r>
    </w:p>
    <w:p w14:paraId="0C43BF9C"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lang w:val="cs-CZ"/>
        </w:rPr>
        <w:t>ZZVZ – zákon</w:t>
      </w:r>
      <w:r w:rsidRPr="00E37AD7">
        <w:rPr>
          <w:rFonts w:ascii="Arial" w:hAnsi="Arial" w:cs="Arial"/>
          <w:lang w:val="cs-CZ"/>
        </w:rPr>
        <w:t xml:space="preserve"> č. 134/2016 Sb., o zadávání veřejných zakázek, ve znění pozdějších předpisů,</w:t>
      </w:r>
    </w:p>
    <w:p w14:paraId="1E1A6CCF" w14:textId="77777777" w:rsidR="00D3291B" w:rsidRPr="00E37AD7" w:rsidRDefault="00D3291B" w:rsidP="00D3291B">
      <w:pPr>
        <w:pStyle w:val="Odstavecseseznamem"/>
        <w:numPr>
          <w:ilvl w:val="0"/>
          <w:numId w:val="13"/>
        </w:numPr>
        <w:spacing w:before="120"/>
        <w:ind w:left="397" w:hanging="397"/>
        <w:jc w:val="both"/>
        <w:rPr>
          <w:rFonts w:ascii="Arial" w:hAnsi="Arial" w:cs="Arial"/>
        </w:rPr>
      </w:pPr>
      <w:r w:rsidRPr="00E37AD7">
        <w:rPr>
          <w:rFonts w:ascii="Arial" w:hAnsi="Arial" w:cs="Arial"/>
        </w:rPr>
        <w:t>zákon o Státním zemědělském intervenčním fondu - zákon č. 256/2000 Sb.</w:t>
      </w:r>
      <w:r w:rsidRPr="00E37AD7">
        <w:rPr>
          <w:rFonts w:ascii="Arial" w:hAnsi="Arial" w:cs="Arial"/>
          <w:lang w:val="cs-CZ"/>
        </w:rPr>
        <w:t xml:space="preserve"> </w:t>
      </w:r>
      <w:r w:rsidRPr="00E37AD7">
        <w:rPr>
          <w:rFonts w:ascii="Arial" w:hAnsi="Arial" w:cs="Arial"/>
        </w:rPr>
        <w:t>o</w:t>
      </w:r>
      <w:r w:rsidRPr="00E37AD7">
        <w:rPr>
          <w:rFonts w:ascii="Arial" w:hAnsi="Arial" w:cs="Arial"/>
          <w:lang w:val="cs-CZ"/>
        </w:rPr>
        <w:t> </w:t>
      </w:r>
      <w:r w:rsidRPr="00E37AD7">
        <w:rPr>
          <w:rFonts w:ascii="Arial" w:hAnsi="Arial" w:cs="Arial"/>
        </w:rPr>
        <w:t xml:space="preserve">Státním zemědělském intervenčním fondu a o změně některých dalších zákonů </w:t>
      </w:r>
      <w:r w:rsidRPr="00E37AD7">
        <w:rPr>
          <w:rFonts w:ascii="Arial" w:hAnsi="Arial" w:cs="Arial"/>
          <w:spacing w:val="-2"/>
        </w:rPr>
        <w:t>(zákon o Státním zemědělském intervenčním fondu), ve znění pozdějších předpisů,</w:t>
      </w:r>
    </w:p>
    <w:p w14:paraId="76CD1052" w14:textId="77777777" w:rsidR="00D3291B" w:rsidRPr="00E37AD7" w:rsidRDefault="00D3291B" w:rsidP="00D3291B">
      <w:pPr>
        <w:pStyle w:val="Odstavecseseznamem"/>
        <w:numPr>
          <w:ilvl w:val="0"/>
          <w:numId w:val="13"/>
        </w:numPr>
        <w:spacing w:before="120"/>
        <w:ind w:left="397" w:hanging="397"/>
        <w:jc w:val="both"/>
        <w:rPr>
          <w:rFonts w:ascii="Arial" w:hAnsi="Arial" w:cs="Arial"/>
        </w:rPr>
      </w:pPr>
      <w:r w:rsidRPr="00E37AD7">
        <w:rPr>
          <w:rFonts w:ascii="Arial" w:hAnsi="Arial" w:cs="Arial"/>
        </w:rPr>
        <w:t xml:space="preserve">zákon č. 252/1997 Sb. </w:t>
      </w:r>
      <w:r w:rsidRPr="00E37AD7">
        <w:rPr>
          <w:rFonts w:ascii="Arial" w:hAnsi="Arial" w:cs="Arial"/>
          <w:lang w:val="cs-CZ"/>
        </w:rPr>
        <w:t>–</w:t>
      </w:r>
      <w:r w:rsidRPr="00E37AD7">
        <w:rPr>
          <w:rFonts w:ascii="Arial" w:hAnsi="Arial" w:cs="Arial"/>
        </w:rPr>
        <w:t xml:space="preserve"> zákon č. 252/1997 Sb</w:t>
      </w:r>
      <w:r w:rsidRPr="00E37AD7">
        <w:rPr>
          <w:rFonts w:ascii="Arial" w:hAnsi="Arial" w:cs="Arial"/>
          <w:lang w:val="cs-CZ"/>
        </w:rPr>
        <w:t>.</w:t>
      </w:r>
      <w:r w:rsidRPr="00E37AD7">
        <w:rPr>
          <w:rFonts w:ascii="Arial" w:hAnsi="Arial" w:cs="Arial"/>
        </w:rPr>
        <w:t>, o zemědělství, ve znění pozdějších předpisů,</w:t>
      </w:r>
    </w:p>
    <w:p w14:paraId="33F812CD"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spacing w:val="-4"/>
        </w:rPr>
        <w:t>zákon č. 89/2012 Sb. – zákon č. 89/2012 Sb., občanský zákoník, ve znění pozdějších</w:t>
      </w:r>
      <w:r w:rsidRPr="00E37AD7">
        <w:rPr>
          <w:rFonts w:ascii="Arial" w:hAnsi="Arial" w:cs="Arial"/>
        </w:rPr>
        <w:t xml:space="preserve"> předpisů,</w:t>
      </w:r>
    </w:p>
    <w:p w14:paraId="4EF6036F" w14:textId="77777777" w:rsidR="00D3291B" w:rsidRPr="00E37AD7" w:rsidRDefault="00D3291B" w:rsidP="00D3291B">
      <w:pPr>
        <w:pStyle w:val="Odstavecseseznamem"/>
        <w:numPr>
          <w:ilvl w:val="0"/>
          <w:numId w:val="13"/>
        </w:numPr>
        <w:spacing w:before="120"/>
        <w:ind w:left="397" w:hanging="397"/>
        <w:jc w:val="both"/>
        <w:rPr>
          <w:rFonts w:ascii="Arial" w:hAnsi="Arial" w:cs="Arial"/>
        </w:rPr>
      </w:pPr>
      <w:r w:rsidRPr="00E37AD7">
        <w:rPr>
          <w:rFonts w:ascii="Arial" w:hAnsi="Arial" w:cs="Arial"/>
        </w:rPr>
        <w:t>zákon č. 99/2004 Sb. – zákon č. 99/2004 Sb., o rybářství, ve znění pozdějších předpisů,</w:t>
      </w:r>
    </w:p>
    <w:p w14:paraId="4EEEA5AC" w14:textId="77777777" w:rsidR="00D3291B" w:rsidRPr="00E37AD7" w:rsidRDefault="00D3291B" w:rsidP="00D3291B">
      <w:pPr>
        <w:pStyle w:val="Odstavecseseznamem"/>
        <w:numPr>
          <w:ilvl w:val="0"/>
          <w:numId w:val="13"/>
        </w:numPr>
        <w:spacing w:before="120"/>
        <w:ind w:left="397" w:hanging="397"/>
        <w:jc w:val="both"/>
        <w:rPr>
          <w:rFonts w:ascii="Arial" w:hAnsi="Arial" w:cs="Arial"/>
        </w:rPr>
      </w:pPr>
      <w:r w:rsidRPr="00E37AD7">
        <w:rPr>
          <w:rFonts w:ascii="Arial" w:hAnsi="Arial" w:cs="Arial"/>
          <w:spacing w:val="-6"/>
        </w:rPr>
        <w:t xml:space="preserve">zákon č. 110/1997 Sb. </w:t>
      </w:r>
      <w:r w:rsidRPr="00E37AD7">
        <w:rPr>
          <w:rFonts w:ascii="Arial" w:hAnsi="Arial" w:cs="Arial"/>
          <w:spacing w:val="-6"/>
          <w:lang w:val="cs-CZ"/>
        </w:rPr>
        <w:t>–</w:t>
      </w:r>
      <w:r w:rsidRPr="00E37AD7">
        <w:rPr>
          <w:rFonts w:ascii="Arial" w:hAnsi="Arial" w:cs="Arial"/>
          <w:spacing w:val="-6"/>
        </w:rPr>
        <w:t xml:space="preserve"> zákon č. 110/1997 Sb., o potravinách a tabákových výrobcích,</w:t>
      </w:r>
      <w:r w:rsidRPr="00E37AD7">
        <w:rPr>
          <w:rFonts w:ascii="Arial" w:hAnsi="Arial" w:cs="Arial"/>
        </w:rPr>
        <w:t xml:space="preserve"> ve znění pozdějších předpisů,</w:t>
      </w:r>
    </w:p>
    <w:p w14:paraId="345683FD"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zákon č. 154/2000 Sb. – zákon č. 154/2000 Sb., o šlechtění, plemenitbě</w:t>
      </w:r>
      <w:r w:rsidRPr="00E37AD7">
        <w:rPr>
          <w:rFonts w:ascii="Arial" w:hAnsi="Arial" w:cs="Arial"/>
          <w:lang w:val="cs-CZ"/>
        </w:rPr>
        <w:t xml:space="preserve"> </w:t>
      </w:r>
      <w:r w:rsidRPr="00E37AD7">
        <w:rPr>
          <w:rFonts w:ascii="Arial" w:hAnsi="Arial" w:cs="Arial"/>
        </w:rPr>
        <w:t>a</w:t>
      </w:r>
      <w:r w:rsidRPr="00E37AD7">
        <w:rPr>
          <w:rFonts w:ascii="Arial" w:hAnsi="Arial" w:cs="Arial"/>
          <w:lang w:val="cs-CZ"/>
        </w:rPr>
        <w:t> </w:t>
      </w:r>
      <w:r w:rsidRPr="00E37AD7">
        <w:rPr>
          <w:rFonts w:ascii="Arial" w:hAnsi="Arial" w:cs="Arial"/>
        </w:rPr>
        <w:t>evidenci hospodářských zvířat a o změně některých souvisejících zákonů (plemenářský zákon), ve znění pozdějších předpisů,</w:t>
      </w:r>
    </w:p>
    <w:p w14:paraId="761245D7"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 xml:space="preserve">zákon č. 166/1999 Sb. – </w:t>
      </w:r>
      <w:r w:rsidRPr="00E37AD7">
        <w:rPr>
          <w:rFonts w:ascii="Arial" w:hAnsi="Arial" w:cs="Arial"/>
        </w:rPr>
        <w:t>zákon č. 166/1999 Sb., o veterinární péči a o změně některých souvisejících zákonů (veterinární zákon), ve znění pozdějších předpisů,</w:t>
      </w:r>
    </w:p>
    <w:p w14:paraId="360E4D81"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t>zákon č. 219/2003 Sb. – zákon č. 219/2003 Sb., o uvádění do oběhu osiva</w:t>
      </w:r>
      <w:r w:rsidRPr="00E37AD7">
        <w:rPr>
          <w:rFonts w:ascii="Arial" w:hAnsi="Arial" w:cs="Arial"/>
          <w:iCs/>
          <w:lang w:val="cs-CZ"/>
        </w:rPr>
        <w:t xml:space="preserve"> </w:t>
      </w:r>
      <w:r w:rsidRPr="00E37AD7">
        <w:rPr>
          <w:rFonts w:ascii="Arial" w:hAnsi="Arial" w:cs="Arial"/>
          <w:iCs/>
        </w:rPr>
        <w:t>a</w:t>
      </w:r>
      <w:r w:rsidRPr="00E37AD7">
        <w:rPr>
          <w:rFonts w:ascii="Arial" w:hAnsi="Arial" w:cs="Arial"/>
          <w:iCs/>
          <w:lang w:val="cs-CZ"/>
        </w:rPr>
        <w:t> </w:t>
      </w:r>
      <w:r w:rsidRPr="00E37AD7">
        <w:rPr>
          <w:rFonts w:ascii="Arial" w:hAnsi="Arial" w:cs="Arial"/>
          <w:iCs/>
        </w:rPr>
        <w:t>sadby pěstovaných rostlin a o změně některých zákonů (zákon o oběhu osiva</w:t>
      </w:r>
      <w:r w:rsidRPr="00E37AD7">
        <w:rPr>
          <w:rFonts w:ascii="Arial" w:hAnsi="Arial" w:cs="Arial"/>
          <w:iCs/>
          <w:lang w:val="cs-CZ"/>
        </w:rPr>
        <w:t xml:space="preserve"> </w:t>
      </w:r>
      <w:r w:rsidRPr="00E37AD7">
        <w:rPr>
          <w:rFonts w:ascii="Arial" w:hAnsi="Arial" w:cs="Arial"/>
          <w:iCs/>
        </w:rPr>
        <w:t>a</w:t>
      </w:r>
      <w:r w:rsidRPr="00E37AD7">
        <w:rPr>
          <w:rFonts w:ascii="Arial" w:hAnsi="Arial" w:cs="Arial"/>
          <w:iCs/>
          <w:lang w:val="cs-CZ"/>
        </w:rPr>
        <w:t> </w:t>
      </w:r>
      <w:r w:rsidRPr="00E37AD7">
        <w:rPr>
          <w:rFonts w:ascii="Arial" w:hAnsi="Arial" w:cs="Arial"/>
          <w:iCs/>
        </w:rPr>
        <w:t>sadby), ve znění pozdějších předpisů,</w:t>
      </w:r>
    </w:p>
    <w:p w14:paraId="5DC02634"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spacing w:val="-6"/>
        </w:rPr>
        <w:t xml:space="preserve">zákon č. 242/2000 Sb. – </w:t>
      </w:r>
      <w:r w:rsidRPr="00E37AD7">
        <w:rPr>
          <w:rFonts w:ascii="Arial" w:hAnsi="Arial" w:cs="Arial"/>
          <w:spacing w:val="-6"/>
        </w:rPr>
        <w:t>zákon č. 242/2000 Sb., o ekologickém zemědělství</w:t>
      </w:r>
      <w:r w:rsidRPr="00E37AD7">
        <w:rPr>
          <w:rFonts w:ascii="Arial" w:hAnsi="Arial" w:cs="Arial"/>
          <w:spacing w:val="-6"/>
          <w:lang w:val="cs-CZ"/>
        </w:rPr>
        <w:t xml:space="preserve"> </w:t>
      </w:r>
      <w:r w:rsidRPr="00E37AD7">
        <w:rPr>
          <w:rFonts w:ascii="Arial" w:hAnsi="Arial" w:cs="Arial"/>
          <w:spacing w:val="-6"/>
        </w:rPr>
        <w:t>a o</w:t>
      </w:r>
      <w:r w:rsidRPr="00E37AD7">
        <w:rPr>
          <w:rFonts w:ascii="Arial" w:hAnsi="Arial" w:cs="Arial"/>
          <w:spacing w:val="-6"/>
          <w:lang w:val="cs-CZ"/>
        </w:rPr>
        <w:t> </w:t>
      </w:r>
      <w:r w:rsidRPr="00E37AD7">
        <w:rPr>
          <w:rFonts w:ascii="Arial" w:hAnsi="Arial" w:cs="Arial"/>
          <w:spacing w:val="-6"/>
        </w:rPr>
        <w:t>změně</w:t>
      </w:r>
      <w:r w:rsidRPr="00E37AD7">
        <w:rPr>
          <w:rFonts w:ascii="Arial" w:hAnsi="Arial" w:cs="Arial"/>
        </w:rPr>
        <w:t xml:space="preserve"> zákona č. 368/1992 Sb., o správních poplatcích, ve znění pozdějších předpisů,</w:t>
      </w:r>
    </w:p>
    <w:p w14:paraId="2F8678A6"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rPr>
        <w:t xml:space="preserve">zákon č. 246/1992 Sb. </w:t>
      </w:r>
      <w:r w:rsidRPr="00E37AD7">
        <w:rPr>
          <w:rFonts w:ascii="Arial" w:hAnsi="Arial" w:cs="Arial"/>
          <w:iCs/>
          <w:lang w:val="cs-CZ"/>
        </w:rPr>
        <w:t>–</w:t>
      </w:r>
      <w:r w:rsidRPr="00E37AD7">
        <w:rPr>
          <w:rFonts w:ascii="Arial" w:hAnsi="Arial" w:cs="Arial"/>
        </w:rPr>
        <w:t xml:space="preserve"> zákon č. 246/1992 Sb., na ochranu zvířat proti týrání, ve znění pozdějších předpisů,</w:t>
      </w:r>
    </w:p>
    <w:p w14:paraId="54CF5763"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rPr>
        <w:lastRenderedPageBreak/>
        <w:t xml:space="preserve">zákon č. 254/2001 Sb. – </w:t>
      </w:r>
      <w:r w:rsidRPr="00E37AD7">
        <w:rPr>
          <w:rFonts w:ascii="Arial" w:hAnsi="Arial" w:cs="Arial"/>
        </w:rPr>
        <w:t>zákon č. 254/2001 Sb., o vodách a o změně některých zákonů (vodní zákon), ve znění pozdějších předpisů,</w:t>
      </w:r>
    </w:p>
    <w:p w14:paraId="31585E10"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iCs/>
          <w:spacing w:val="-2"/>
        </w:rPr>
        <w:t xml:space="preserve">zákon č. 262/2006 Sb. – </w:t>
      </w:r>
      <w:r w:rsidRPr="00E37AD7">
        <w:rPr>
          <w:rFonts w:ascii="Arial" w:hAnsi="Arial" w:cs="Arial"/>
          <w:spacing w:val="-2"/>
        </w:rPr>
        <w:t>zákon č. 262/2006 Sb., zákoník práce, ve znění pozdějších</w:t>
      </w:r>
      <w:r w:rsidRPr="00E37AD7">
        <w:rPr>
          <w:rFonts w:ascii="Arial" w:hAnsi="Arial" w:cs="Arial"/>
        </w:rPr>
        <w:t xml:space="preserve"> předpisů,</w:t>
      </w:r>
    </w:p>
    <w:p w14:paraId="261D5146" w14:textId="77777777" w:rsidR="00D3291B" w:rsidRPr="00E37AD7" w:rsidRDefault="00D3291B" w:rsidP="00D3291B">
      <w:pPr>
        <w:pStyle w:val="Odstavecseseznamem"/>
        <w:numPr>
          <w:ilvl w:val="0"/>
          <w:numId w:val="13"/>
        </w:numPr>
        <w:spacing w:before="120"/>
        <w:ind w:left="397" w:hanging="397"/>
        <w:jc w:val="both"/>
        <w:rPr>
          <w:rFonts w:ascii="Arial" w:hAnsi="Arial" w:cs="Arial"/>
          <w:iCs/>
        </w:rPr>
      </w:pPr>
      <w:r w:rsidRPr="00E37AD7">
        <w:rPr>
          <w:rFonts w:ascii="Arial" w:hAnsi="Arial" w:cs="Arial"/>
          <w:spacing w:val="-4"/>
        </w:rPr>
        <w:t>zákon č. 561/2004 Sb. – zákon č. 561/2004 Sb., o předškolním, základním, středním,</w:t>
      </w:r>
      <w:r w:rsidRPr="00E37AD7">
        <w:rPr>
          <w:rFonts w:ascii="Arial" w:hAnsi="Arial" w:cs="Arial"/>
        </w:rPr>
        <w:t xml:space="preserve"> </w:t>
      </w:r>
      <w:r w:rsidRPr="00E37AD7">
        <w:rPr>
          <w:rFonts w:ascii="Arial" w:hAnsi="Arial" w:cs="Arial"/>
          <w:spacing w:val="-2"/>
        </w:rPr>
        <w:t>vyšším odborném a jiném vzdělávání (školský zákon), ve znění pozdějších předpisů,</w:t>
      </w:r>
    </w:p>
    <w:p w14:paraId="4DC3AC84" w14:textId="77777777" w:rsidR="00D3291B" w:rsidRPr="00E37AD7" w:rsidRDefault="00D3291B" w:rsidP="00D3291B">
      <w:pPr>
        <w:pStyle w:val="Odstavecseseznamem"/>
        <w:numPr>
          <w:ilvl w:val="0"/>
          <w:numId w:val="13"/>
        </w:numPr>
        <w:spacing w:before="120"/>
        <w:ind w:left="397" w:hanging="397"/>
        <w:jc w:val="both"/>
        <w:rPr>
          <w:rFonts w:ascii="Arial" w:hAnsi="Arial" w:cs="Arial"/>
          <w:iCs/>
          <w:lang w:val="cs-CZ"/>
        </w:rPr>
      </w:pPr>
      <w:r w:rsidRPr="00E37AD7">
        <w:rPr>
          <w:rFonts w:ascii="Arial" w:hAnsi="Arial" w:cs="Arial"/>
          <w:lang w:val="cs-CZ"/>
        </w:rPr>
        <w:t>zákon č. 134/2016 Sb. - zákon č. 134/2016 Sb., o zadávání veřejných zakázek, ve znění pozdějších předpisů.</w:t>
      </w:r>
    </w:p>
    <w:p w14:paraId="6C265D99" w14:textId="4D4DA6E4" w:rsidR="004A263B" w:rsidRDefault="004A263B" w:rsidP="00D3291B"/>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Cambria"/>
    <w:panose1 w:val="00000000000000000000"/>
    <w:charset w:val="EE"/>
    <w:family w:val="swiss"/>
    <w:notTrueType/>
    <w:pitch w:val="default"/>
    <w:sig w:usb0="00000005" w:usb1="00000000" w:usb2="00000000" w:usb3="00000000" w:csb0="00000002"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22A3A62"/>
    <w:multiLevelType w:val="hybridMultilevel"/>
    <w:tmpl w:val="98B6173C"/>
    <w:lvl w:ilvl="0" w:tplc="A13AA3AA">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196799"/>
    <w:multiLevelType w:val="multilevel"/>
    <w:tmpl w:val="67545AFA"/>
    <w:lvl w:ilvl="0">
      <w:start w:val="1"/>
      <w:numFmt w:val="lowerLetter"/>
      <w:lvlText w:val="%1)"/>
      <w:lvlJc w:val="left"/>
      <w:pPr>
        <w:ind w:left="1198" w:hanging="360"/>
      </w:pPr>
    </w:lvl>
    <w:lvl w:ilvl="1">
      <w:start w:val="1"/>
      <w:numFmt w:val="lowerLetter"/>
      <w:lvlText w:val="%2."/>
      <w:lvlJc w:val="lef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3" w15:restartNumberingAfterBreak="0">
    <w:nsid w:val="13F14347"/>
    <w:multiLevelType w:val="multilevel"/>
    <w:tmpl w:val="248EADA2"/>
    <w:lvl w:ilvl="0">
      <w:start w:val="1"/>
      <w:numFmt w:val="lowerLetter"/>
      <w:lvlText w:val="%1)"/>
      <w:lvlJc w:val="left"/>
      <w:pPr>
        <w:ind w:left="1198" w:hanging="360"/>
      </w:pPr>
      <w:rPr>
        <w:strike w:val="0"/>
      </w:rPr>
    </w:lvl>
    <w:lvl w:ilvl="1">
      <w:start w:val="1"/>
      <w:numFmt w:val="lowerLetter"/>
      <w:lvlText w:val="%2."/>
      <w:lvlJc w:val="lef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4" w15:restartNumberingAfterBreak="0">
    <w:nsid w:val="14A66B99"/>
    <w:multiLevelType w:val="multilevel"/>
    <w:tmpl w:val="EC8A1B72"/>
    <w:lvl w:ilvl="0">
      <w:start w:val="5"/>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43423B7"/>
    <w:multiLevelType w:val="multilevel"/>
    <w:tmpl w:val="4600C9E6"/>
    <w:lvl w:ilvl="0">
      <w:start w:val="1"/>
      <w:numFmt w:val="lowerLetter"/>
      <w:lvlText w:val="%1)"/>
      <w:lvlJc w:val="left"/>
      <w:pPr>
        <w:ind w:left="360" w:hanging="360"/>
      </w:pPr>
      <w:rPr>
        <w:rFonts w:ascii="Arial" w:hAnsi="Arial" w:cs="Arial" w:hint="default"/>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8"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9" w15:restartNumberingAfterBreak="0">
    <w:nsid w:val="3D7861E6"/>
    <w:multiLevelType w:val="multilevel"/>
    <w:tmpl w:val="1CB47180"/>
    <w:lvl w:ilvl="0">
      <w:start w:val="1"/>
      <w:numFmt w:val="lowerLetter"/>
      <w:lvlText w:val="%1)"/>
      <w:lvlJc w:val="left"/>
      <w:pPr>
        <w:ind w:left="1198" w:hanging="360"/>
      </w:pPr>
    </w:lvl>
    <w:lvl w:ilvl="1">
      <w:start w:val="1"/>
      <w:numFmt w:val="upperRoman"/>
      <w:lvlText w:val="%2."/>
      <w:lvlJc w:val="righ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10" w15:restartNumberingAfterBreak="0">
    <w:nsid w:val="496F6C29"/>
    <w:multiLevelType w:val="multilevel"/>
    <w:tmpl w:val="7B748EB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7D72135"/>
    <w:multiLevelType w:val="hybridMultilevel"/>
    <w:tmpl w:val="9C981914"/>
    <w:lvl w:ilvl="0" w:tplc="0132199A">
      <w:start w:val="21"/>
      <w:numFmt w:val="lowerLetter"/>
      <w:lvlText w:val="%1)"/>
      <w:lvlJc w:val="left"/>
      <w:pPr>
        <w:ind w:left="720" w:hanging="360"/>
      </w:pPr>
      <w:rPr>
        <w:rFonts w:ascii="Arial" w:hAnsi="Arial" w:hint="default"/>
        <w:strike w:val="0"/>
        <w:color w:val="auto"/>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8A2156D"/>
    <w:multiLevelType w:val="multilevel"/>
    <w:tmpl w:val="6A2EC720"/>
    <w:lvl w:ilvl="0">
      <w:start w:val="1"/>
      <w:numFmt w:val="upperRoman"/>
      <w:lvlText w:val="%1."/>
      <w:lvlJc w:val="right"/>
      <w:pPr>
        <w:ind w:left="720" w:hanging="360"/>
      </w:p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7D2500"/>
    <w:multiLevelType w:val="multilevel"/>
    <w:tmpl w:val="501CD29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C416C36"/>
    <w:multiLevelType w:val="multilevel"/>
    <w:tmpl w:val="654C91C8"/>
    <w:lvl w:ilvl="0">
      <w:start w:val="1"/>
      <w:numFmt w:val="decimal"/>
      <w:lvlText w:val="%1."/>
      <w:lvlJc w:val="left"/>
      <w:pPr>
        <w:ind w:left="4329"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D2E74F5"/>
    <w:multiLevelType w:val="hybridMultilevel"/>
    <w:tmpl w:val="6DA4B24C"/>
    <w:lvl w:ilvl="0" w:tplc="04050013">
      <w:start w:val="1"/>
      <w:numFmt w:val="upperRoman"/>
      <w:lvlText w:val="%1."/>
      <w:lvlJc w:val="righ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16" w15:restartNumberingAfterBreak="0">
    <w:nsid w:val="60352809"/>
    <w:multiLevelType w:val="hybridMultilevel"/>
    <w:tmpl w:val="7F7AE230"/>
    <w:lvl w:ilvl="0" w:tplc="3BA6B6AC">
      <w:start w:val="1"/>
      <w:numFmt w:val="lowerLetter"/>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F07414E"/>
    <w:multiLevelType w:val="hybridMultilevel"/>
    <w:tmpl w:val="1F54364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1411221"/>
    <w:multiLevelType w:val="hybridMultilevel"/>
    <w:tmpl w:val="42703DDE"/>
    <w:lvl w:ilvl="0" w:tplc="04050017">
      <w:start w:val="1"/>
      <w:numFmt w:val="lowerLetter"/>
      <w:lvlText w:val="%1)"/>
      <w:lvlJc w:val="left"/>
      <w:pPr>
        <w:ind w:left="1152" w:hanging="360"/>
      </w:pPr>
    </w:lvl>
    <w:lvl w:ilvl="1" w:tplc="04050019">
      <w:start w:val="1"/>
      <w:numFmt w:val="lowerLetter"/>
      <w:lvlText w:val="%2."/>
      <w:lvlJc w:val="left"/>
      <w:pPr>
        <w:ind w:left="1211" w:hanging="360"/>
      </w:pPr>
    </w:lvl>
    <w:lvl w:ilvl="2" w:tplc="0405001B">
      <w:start w:val="1"/>
      <w:numFmt w:val="lowerRoman"/>
      <w:lvlText w:val="%3."/>
      <w:lvlJc w:val="right"/>
      <w:pPr>
        <w:ind w:left="2592" w:hanging="180"/>
      </w:pPr>
    </w:lvl>
    <w:lvl w:ilvl="3" w:tplc="0405000F">
      <w:start w:val="1"/>
      <w:numFmt w:val="decimal"/>
      <w:lvlText w:val="%4."/>
      <w:lvlJc w:val="left"/>
      <w:pPr>
        <w:ind w:left="3312" w:hanging="360"/>
      </w:pPr>
    </w:lvl>
    <w:lvl w:ilvl="4" w:tplc="04050019">
      <w:start w:val="1"/>
      <w:numFmt w:val="lowerLetter"/>
      <w:lvlText w:val="%5."/>
      <w:lvlJc w:val="left"/>
      <w:pPr>
        <w:ind w:left="4032" w:hanging="360"/>
      </w:pPr>
    </w:lvl>
    <w:lvl w:ilvl="5" w:tplc="0405001B">
      <w:start w:val="1"/>
      <w:numFmt w:val="lowerRoman"/>
      <w:lvlText w:val="%6."/>
      <w:lvlJc w:val="right"/>
      <w:pPr>
        <w:ind w:left="4752" w:hanging="180"/>
      </w:pPr>
    </w:lvl>
    <w:lvl w:ilvl="6" w:tplc="0405000F">
      <w:start w:val="1"/>
      <w:numFmt w:val="decimal"/>
      <w:lvlText w:val="%7."/>
      <w:lvlJc w:val="left"/>
      <w:pPr>
        <w:ind w:left="5472" w:hanging="360"/>
      </w:pPr>
    </w:lvl>
    <w:lvl w:ilvl="7" w:tplc="04050019">
      <w:start w:val="1"/>
      <w:numFmt w:val="lowerLetter"/>
      <w:lvlText w:val="%8."/>
      <w:lvlJc w:val="left"/>
      <w:pPr>
        <w:ind w:left="6192" w:hanging="360"/>
      </w:pPr>
    </w:lvl>
    <w:lvl w:ilvl="8" w:tplc="0405001B">
      <w:start w:val="1"/>
      <w:numFmt w:val="lowerRoman"/>
      <w:lvlText w:val="%9."/>
      <w:lvlJc w:val="right"/>
      <w:pPr>
        <w:ind w:left="6912" w:hanging="180"/>
      </w:pPr>
    </w:lvl>
  </w:abstractNum>
  <w:abstractNum w:abstractNumId="19" w15:restartNumberingAfterBreak="0">
    <w:nsid w:val="71BF7B08"/>
    <w:multiLevelType w:val="hybridMultilevel"/>
    <w:tmpl w:val="4E5475AE"/>
    <w:lvl w:ilvl="0" w:tplc="851886E0">
      <w:start w:val="1"/>
      <w:numFmt w:val="lowerLetter"/>
      <w:lvlText w:val="%1)"/>
      <w:lvlJc w:val="left"/>
      <w:pPr>
        <w:ind w:left="785" w:hanging="360"/>
      </w:pPr>
      <w:rPr>
        <w:rFonts w:ascii="Arial" w:hAnsi="Arial" w:cs="Arial" w:hint="default"/>
        <w:strike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6"/>
  </w:num>
  <w:num w:numId="5">
    <w:abstractNumId w:val="14"/>
  </w:num>
  <w:num w:numId="6">
    <w:abstractNumId w:val="5"/>
  </w:num>
  <w:num w:numId="7">
    <w:abstractNumId w:val="2"/>
  </w:num>
  <w:num w:numId="8">
    <w:abstractNumId w:val="10"/>
  </w:num>
  <w:num w:numId="9">
    <w:abstractNumId w:val="3"/>
  </w:num>
  <w:num w:numId="10">
    <w:abstractNumId w:val="9"/>
  </w:num>
  <w:num w:numId="11">
    <w:abstractNumId w:val="12"/>
  </w:num>
  <w:num w:numId="12">
    <w:abstractNumId w:val="4"/>
  </w:num>
  <w:num w:numId="13">
    <w:abstractNumId w:val="16"/>
  </w:num>
  <w:num w:numId="14">
    <w:abstractNumId w:val="19"/>
  </w:num>
  <w:num w:numId="15">
    <w:abstractNumId w:val="15"/>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
  </w:num>
  <w:num w:numId="19">
    <w:abstractNumId w:val="1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1B"/>
    <w:rsid w:val="004A263B"/>
    <w:rsid w:val="007C16A7"/>
    <w:rsid w:val="00D329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553B"/>
  <w15:chartTrackingRefBased/>
  <w15:docId w15:val="{D2C41308-86FC-40E7-8C3F-64AFFEFC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3291B"/>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D3291B"/>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D3291B"/>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D3291B"/>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D3291B"/>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D3291B"/>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D3291B"/>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D3291B"/>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D3291B"/>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D3291B"/>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D3291B"/>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D3291B"/>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D3291B"/>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D3291B"/>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D3291B"/>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D3291B"/>
    <w:pPr>
      <w:spacing w:after="120"/>
    </w:pPr>
    <w:rPr>
      <w:lang w:val="x-none"/>
    </w:rPr>
  </w:style>
  <w:style w:type="character" w:customStyle="1" w:styleId="ZkladntextChar">
    <w:name w:val="Základní text Char"/>
    <w:basedOn w:val="Standardnpsmoodstavce"/>
    <w:link w:val="Zkladntext"/>
    <w:qFormat/>
    <w:rsid w:val="00D3291B"/>
    <w:rPr>
      <w:rFonts w:ascii="Arial" w:eastAsia="Calibri" w:hAnsi="Arial" w:cs="Times New Roman"/>
      <w:lang w:val="x-none"/>
    </w:rPr>
  </w:style>
  <w:style w:type="paragraph" w:styleId="Zhlav">
    <w:name w:val="header"/>
    <w:basedOn w:val="Normln"/>
    <w:link w:val="ZhlavChar"/>
    <w:uiPriority w:val="99"/>
    <w:unhideWhenUsed/>
    <w:rsid w:val="00D3291B"/>
    <w:pPr>
      <w:tabs>
        <w:tab w:val="center" w:pos="4536"/>
        <w:tab w:val="right" w:pos="9072"/>
      </w:tabs>
    </w:pPr>
    <w:rPr>
      <w:lang w:val="x-none"/>
    </w:rPr>
  </w:style>
  <w:style w:type="character" w:customStyle="1" w:styleId="ZhlavChar">
    <w:name w:val="Záhlaví Char"/>
    <w:basedOn w:val="Standardnpsmoodstavce"/>
    <w:link w:val="Zhlav"/>
    <w:uiPriority w:val="99"/>
    <w:qFormat/>
    <w:rsid w:val="00D3291B"/>
    <w:rPr>
      <w:rFonts w:ascii="Arial" w:eastAsia="Calibri" w:hAnsi="Arial" w:cs="Times New Roman"/>
      <w:lang w:val="x-none"/>
    </w:rPr>
  </w:style>
  <w:style w:type="paragraph" w:styleId="Zpat">
    <w:name w:val="footer"/>
    <w:basedOn w:val="Normln"/>
    <w:link w:val="ZpatChar"/>
    <w:uiPriority w:val="99"/>
    <w:unhideWhenUsed/>
    <w:rsid w:val="00D3291B"/>
    <w:pPr>
      <w:tabs>
        <w:tab w:val="center" w:pos="4536"/>
        <w:tab w:val="right" w:pos="9072"/>
      </w:tabs>
    </w:pPr>
    <w:rPr>
      <w:lang w:val="x-none"/>
    </w:rPr>
  </w:style>
  <w:style w:type="character" w:customStyle="1" w:styleId="ZpatChar">
    <w:name w:val="Zápatí Char"/>
    <w:basedOn w:val="Standardnpsmoodstavce"/>
    <w:link w:val="Zpat"/>
    <w:uiPriority w:val="99"/>
    <w:qFormat/>
    <w:rsid w:val="00D3291B"/>
    <w:rPr>
      <w:rFonts w:ascii="Arial" w:eastAsia="Calibri" w:hAnsi="Arial" w:cs="Times New Roman"/>
      <w:lang w:val="x-none"/>
    </w:rPr>
  </w:style>
  <w:style w:type="paragraph" w:styleId="Bezmezer">
    <w:name w:val="No Spacing"/>
    <w:uiPriority w:val="1"/>
    <w:qFormat/>
    <w:rsid w:val="00D3291B"/>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D3291B"/>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D3291B"/>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D3291B"/>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D3291B"/>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D3291B"/>
    <w:rPr>
      <w:rFonts w:ascii="Times New Roman" w:eastAsia="Times New Roman" w:hAnsi="Times New Roman"/>
      <w:b/>
      <w:sz w:val="24"/>
      <w:szCs w:val="20"/>
      <w:lang w:eastAsia="cs-CZ"/>
    </w:rPr>
  </w:style>
  <w:style w:type="paragraph" w:customStyle="1" w:styleId="Zkladntext32">
    <w:name w:val="Základní text 32"/>
    <w:basedOn w:val="Normln"/>
    <w:qFormat/>
    <w:rsid w:val="00D3291B"/>
    <w:pPr>
      <w:jc w:val="both"/>
    </w:pPr>
    <w:rPr>
      <w:rFonts w:ascii="Times New Roman" w:eastAsia="Times New Roman" w:hAnsi="Times New Roman"/>
      <w:b/>
      <w:sz w:val="24"/>
      <w:szCs w:val="20"/>
      <w:lang w:eastAsia="cs-CZ"/>
    </w:rPr>
  </w:style>
  <w:style w:type="paragraph" w:customStyle="1" w:styleId="Normaln">
    <w:name w:val="Normalní"/>
    <w:basedOn w:val="Normln"/>
    <w:qFormat/>
    <w:rsid w:val="00D3291B"/>
    <w:pPr>
      <w:jc w:val="both"/>
    </w:pPr>
    <w:rPr>
      <w:rFonts w:eastAsia="Times New Roman"/>
      <w:sz w:val="24"/>
      <w:szCs w:val="20"/>
      <w:lang w:eastAsia="cs-CZ"/>
    </w:rPr>
  </w:style>
  <w:style w:type="paragraph" w:customStyle="1" w:styleId="Typedudocument">
    <w:name w:val="Type du document"/>
    <w:basedOn w:val="Normln"/>
    <w:next w:val="Datedadoption"/>
    <w:qFormat/>
    <w:rsid w:val="00D3291B"/>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D3291B"/>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D3291B"/>
    <w:rPr>
      <w:rFonts w:ascii="S Patkou" w:eastAsia="Times New Roman" w:hAnsi="S Patkou"/>
      <w:sz w:val="24"/>
      <w:szCs w:val="20"/>
      <w:lang w:eastAsia="cs-CZ"/>
    </w:rPr>
  </w:style>
  <w:style w:type="paragraph" w:customStyle="1" w:styleId="Style22">
    <w:name w:val="Style22"/>
    <w:qFormat/>
    <w:rsid w:val="00D3291B"/>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D3291B"/>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D3291B"/>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D3291B"/>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D3291B"/>
    <w:pPr>
      <w:tabs>
        <w:tab w:val="right" w:leader="dot" w:pos="9062"/>
      </w:tabs>
      <w:ind w:left="440" w:hanging="156"/>
    </w:pPr>
  </w:style>
  <w:style w:type="paragraph" w:styleId="Obsah2">
    <w:name w:val="toc 2"/>
    <w:basedOn w:val="Normln"/>
    <w:next w:val="Normln"/>
    <w:autoRedefine/>
    <w:uiPriority w:val="39"/>
    <w:unhideWhenUsed/>
    <w:qFormat/>
    <w:rsid w:val="00D3291B"/>
    <w:pPr>
      <w:tabs>
        <w:tab w:val="right" w:leader="dot" w:pos="9062"/>
      </w:tabs>
      <w:ind w:left="220"/>
    </w:pPr>
  </w:style>
  <w:style w:type="paragraph" w:styleId="Obsah1">
    <w:name w:val="toc 1"/>
    <w:basedOn w:val="Normln"/>
    <w:next w:val="Normln"/>
    <w:autoRedefine/>
    <w:unhideWhenUsed/>
    <w:qFormat/>
    <w:rsid w:val="00D3291B"/>
  </w:style>
  <w:style w:type="character" w:styleId="Hypertextovodkaz">
    <w:name w:val="Hyperlink"/>
    <w:uiPriority w:val="99"/>
    <w:unhideWhenUsed/>
    <w:rsid w:val="00D3291B"/>
    <w:rPr>
      <w:color w:val="0000FF"/>
      <w:u w:val="single"/>
    </w:rPr>
  </w:style>
  <w:style w:type="character" w:styleId="Znakapoznpodarou">
    <w:name w:val="footnote reference"/>
    <w:uiPriority w:val="99"/>
    <w:qFormat/>
    <w:rsid w:val="00D3291B"/>
    <w:rPr>
      <w:vertAlign w:val="superscript"/>
    </w:rPr>
  </w:style>
  <w:style w:type="paragraph" w:styleId="Textpoznpodarou">
    <w:name w:val="footnote text"/>
    <w:basedOn w:val="Normln"/>
    <w:link w:val="TextpoznpodarouChar"/>
    <w:uiPriority w:val="99"/>
    <w:qFormat/>
    <w:rsid w:val="00D3291B"/>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D3291B"/>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D3291B"/>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D3291B"/>
    <w:rPr>
      <w:rFonts w:ascii="Arial" w:eastAsia="Calibri" w:hAnsi="Arial" w:cs="Times New Roman"/>
      <w:lang w:val="x-none"/>
    </w:rPr>
  </w:style>
  <w:style w:type="character" w:styleId="Odkaznakoment">
    <w:name w:val="annotation reference"/>
    <w:uiPriority w:val="99"/>
    <w:semiHidden/>
    <w:unhideWhenUsed/>
    <w:qFormat/>
    <w:rsid w:val="00D3291B"/>
    <w:rPr>
      <w:sz w:val="16"/>
      <w:szCs w:val="16"/>
    </w:rPr>
  </w:style>
  <w:style w:type="table" w:styleId="Mkatabulky">
    <w:name w:val="Table Grid"/>
    <w:basedOn w:val="Normlntabulka"/>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D3291B"/>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D3291B"/>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D3291B"/>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D3291B"/>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D3291B"/>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D3291B"/>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D3291B"/>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D3291B"/>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D3291B"/>
    <w:rPr>
      <w:rFonts w:ascii="Times New Roman" w:eastAsia="Times New Roman" w:hAnsi="Times New Roman" w:cs="Times New Roman"/>
      <w:sz w:val="20"/>
      <w:szCs w:val="20"/>
      <w:lang w:val="x-none" w:eastAsia="x-none"/>
    </w:rPr>
  </w:style>
  <w:style w:type="character" w:styleId="slostrnky">
    <w:name w:val="page number"/>
    <w:qFormat/>
    <w:rsid w:val="00D3291B"/>
  </w:style>
  <w:style w:type="paragraph" w:customStyle="1" w:styleId="Styl2">
    <w:name w:val="Styl2"/>
    <w:basedOn w:val="Normln"/>
    <w:uiPriority w:val="99"/>
    <w:qFormat/>
    <w:rsid w:val="00D3291B"/>
    <w:pPr>
      <w:numPr>
        <w:numId w:val="2"/>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D3291B"/>
    <w:pPr>
      <w:spacing w:before="120" w:line="360" w:lineRule="auto"/>
      <w:jc w:val="center"/>
      <w:outlineLvl w:val="0"/>
    </w:pPr>
    <w:rPr>
      <w:rFonts w:eastAsia="Times New Roman"/>
      <w:b/>
      <w:sz w:val="28"/>
      <w:szCs w:val="20"/>
      <w:lang w:eastAsia="cs-CZ"/>
    </w:rPr>
  </w:style>
  <w:style w:type="paragraph" w:styleId="Seznam2">
    <w:name w:val="List 2"/>
    <w:basedOn w:val="Normln"/>
    <w:rsid w:val="00D3291B"/>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D3291B"/>
    <w:rPr>
      <w:rFonts w:ascii="Times New Roman" w:eastAsia="Times New Roman" w:hAnsi="Times New Roman"/>
      <w:sz w:val="20"/>
      <w:szCs w:val="20"/>
      <w:lang w:eastAsia="cs-CZ"/>
    </w:rPr>
  </w:style>
  <w:style w:type="paragraph" w:customStyle="1" w:styleId="zkladntextmj">
    <w:name w:val="základní text můj"/>
    <w:basedOn w:val="Normln"/>
    <w:qFormat/>
    <w:rsid w:val="00D3291B"/>
    <w:rPr>
      <w:rFonts w:ascii="Times New Roman" w:eastAsia="Times New Roman" w:hAnsi="Times New Roman"/>
      <w:sz w:val="24"/>
      <w:szCs w:val="20"/>
      <w:lang w:eastAsia="cs-CZ"/>
    </w:rPr>
  </w:style>
  <w:style w:type="paragraph" w:styleId="Seznam">
    <w:name w:val="List"/>
    <w:basedOn w:val="Normln"/>
    <w:unhideWhenUsed/>
    <w:rsid w:val="00D3291B"/>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D3291B"/>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D3291B"/>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D3291B"/>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D3291B"/>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D3291B"/>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D3291B"/>
    <w:rPr>
      <w:rFonts w:ascii="Times New Roman" w:eastAsia="Times New Roman" w:hAnsi="Times New Roman" w:cs="Times New Roman"/>
      <w:b/>
      <w:bCs/>
      <w:sz w:val="24"/>
      <w:szCs w:val="24"/>
      <w:lang w:val="x-none" w:eastAsia="x-none"/>
    </w:rPr>
  </w:style>
  <w:style w:type="paragraph" w:customStyle="1" w:styleId="Default">
    <w:name w:val="Default"/>
    <w:qFormat/>
    <w:rsid w:val="00D3291B"/>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D3291B"/>
    <w:rPr>
      <w:b/>
    </w:rPr>
  </w:style>
  <w:style w:type="paragraph" w:customStyle="1" w:styleId="Text1">
    <w:name w:val="Text 1"/>
    <w:basedOn w:val="Normln"/>
    <w:qFormat/>
    <w:rsid w:val="00D3291B"/>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D3291B"/>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D3291B"/>
    <w:rPr>
      <w:rFonts w:eastAsiaTheme="minorEastAsia"/>
      <w:color w:val="5A5A5A" w:themeColor="text1" w:themeTint="A5"/>
      <w:spacing w:val="15"/>
    </w:rPr>
  </w:style>
  <w:style w:type="character" w:customStyle="1" w:styleId="PodnadpisChar1">
    <w:name w:val="Podnadpis Char1"/>
    <w:aliases w:val="Podtitul Char"/>
    <w:link w:val="Podnadpis"/>
    <w:qFormat/>
    <w:rsid w:val="00D3291B"/>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D3291B"/>
    <w:pPr>
      <w:spacing w:before="100" w:after="100"/>
    </w:pPr>
    <w:rPr>
      <w:rFonts w:eastAsia="Times New Roman" w:cs="Arial"/>
      <w:sz w:val="24"/>
      <w:szCs w:val="24"/>
      <w:lang w:eastAsia="cs-CZ"/>
    </w:rPr>
  </w:style>
  <w:style w:type="paragraph" w:customStyle="1" w:styleId="tverce">
    <w:name w:val="čtverce"/>
    <w:basedOn w:val="Normln"/>
    <w:autoRedefine/>
    <w:qFormat/>
    <w:rsid w:val="00D3291B"/>
    <w:pPr>
      <w:spacing w:before="40"/>
      <w:jc w:val="both"/>
    </w:pPr>
    <w:rPr>
      <w:rFonts w:eastAsia="Times New Roman"/>
      <w:sz w:val="24"/>
      <w:szCs w:val="20"/>
      <w:lang w:eastAsia="cs-CZ"/>
    </w:rPr>
  </w:style>
  <w:style w:type="paragraph" w:customStyle="1" w:styleId="odstavec">
    <w:name w:val="odstavec"/>
    <w:basedOn w:val="Normln"/>
    <w:qFormat/>
    <w:rsid w:val="00D3291B"/>
    <w:pPr>
      <w:spacing w:before="120"/>
      <w:ind w:firstLine="709"/>
    </w:pPr>
    <w:rPr>
      <w:rFonts w:eastAsia="Times New Roman"/>
      <w:sz w:val="24"/>
      <w:szCs w:val="20"/>
      <w:lang w:eastAsia="cs-CZ"/>
    </w:rPr>
  </w:style>
  <w:style w:type="paragraph" w:customStyle="1" w:styleId="Normln0">
    <w:name w:val="Norm‡ln’"/>
    <w:qFormat/>
    <w:rsid w:val="00D3291B"/>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D3291B"/>
    <w:rPr>
      <w:rFonts w:ascii="Times New Roman" w:eastAsia="Arial Unicode MS" w:hAnsi="Times New Roman"/>
      <w:sz w:val="24"/>
      <w:szCs w:val="24"/>
      <w:lang w:eastAsia="cs-CZ"/>
    </w:rPr>
  </w:style>
  <w:style w:type="paragraph" w:customStyle="1" w:styleId="Zkladntext22">
    <w:name w:val="Základní text 22"/>
    <w:basedOn w:val="Normln"/>
    <w:qFormat/>
    <w:rsid w:val="00D3291B"/>
    <w:rPr>
      <w:rFonts w:ascii="Times New Roman" w:eastAsia="Times New Roman" w:hAnsi="Times New Roman"/>
      <w:b/>
      <w:sz w:val="24"/>
      <w:szCs w:val="20"/>
      <w:lang w:eastAsia="cs-CZ"/>
    </w:rPr>
  </w:style>
  <w:style w:type="paragraph" w:customStyle="1" w:styleId="slovn">
    <w:name w:val="slovn"/>
    <w:basedOn w:val="Normln"/>
    <w:qFormat/>
    <w:rsid w:val="00D3291B"/>
    <w:pPr>
      <w:numPr>
        <w:numId w:val="3"/>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D3291B"/>
    <w:pPr>
      <w:jc w:val="both"/>
    </w:pPr>
    <w:rPr>
      <w:rFonts w:eastAsia="Times New Roman"/>
      <w:sz w:val="24"/>
      <w:szCs w:val="20"/>
      <w:lang w:eastAsia="cs-CZ"/>
    </w:rPr>
  </w:style>
  <w:style w:type="paragraph" w:styleId="FormtovanvHTML">
    <w:name w:val="HTML Preformatted"/>
    <w:basedOn w:val="Normln"/>
    <w:link w:val="FormtovanvHTMLChar"/>
    <w:qFormat/>
    <w:rsid w:val="00D32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D3291B"/>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D3291B"/>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D3291B"/>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D3291B"/>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D3291B"/>
    <w:rPr>
      <w:rFonts w:ascii="Tahoma" w:eastAsia="Times New Roman" w:hAnsi="Tahoma" w:cs="Times New Roman"/>
      <w:sz w:val="16"/>
      <w:szCs w:val="16"/>
      <w:lang w:val="x-none" w:eastAsia="x-none"/>
    </w:rPr>
  </w:style>
  <w:style w:type="paragraph" w:customStyle="1" w:styleId="Zkladntext33">
    <w:name w:val="Základní text 33"/>
    <w:basedOn w:val="Normln"/>
    <w:qFormat/>
    <w:rsid w:val="00D3291B"/>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D3291B"/>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D3291B"/>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D3291B"/>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D3291B"/>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D3291B"/>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D3291B"/>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D3291B"/>
  </w:style>
  <w:style w:type="table" w:customStyle="1" w:styleId="Mkatabulky3">
    <w:name w:val="Mřížka tabulky3"/>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D3291B"/>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D3291B"/>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D3291B"/>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D3291B"/>
    <w:rPr>
      <w:vertAlign w:val="superscript"/>
    </w:rPr>
  </w:style>
  <w:style w:type="paragraph" w:customStyle="1" w:styleId="Poznmkapodarou">
    <w:name w:val="Poznámka pod čarou"/>
    <w:basedOn w:val="Normln"/>
    <w:rsid w:val="00D3291B"/>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D3291B"/>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D3291B"/>
    <w:pPr>
      <w:numPr>
        <w:numId w:val="4"/>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D3291B"/>
    <w:pPr>
      <w:numPr>
        <w:ilvl w:val="1"/>
        <w:numId w:val="4"/>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D3291B"/>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D3291B"/>
    <w:rPr>
      <w:color w:val="0563C1"/>
      <w:u w:val="single"/>
    </w:rPr>
  </w:style>
  <w:style w:type="character" w:styleId="Sledovanodkaz">
    <w:name w:val="FollowedHyperlink"/>
    <w:uiPriority w:val="99"/>
    <w:semiHidden/>
    <w:unhideWhenUsed/>
    <w:qFormat/>
    <w:rsid w:val="00D3291B"/>
    <w:rPr>
      <w:color w:val="954F72"/>
      <w:u w:val="single"/>
    </w:rPr>
  </w:style>
  <w:style w:type="character" w:customStyle="1" w:styleId="PedmtkomenteChar">
    <w:name w:val="Předmět komentáře Char"/>
    <w:link w:val="Pedmtkomente"/>
    <w:uiPriority w:val="99"/>
    <w:semiHidden/>
    <w:qFormat/>
    <w:rsid w:val="00D3291B"/>
    <w:rPr>
      <w:rFonts w:ascii="Times New Roman" w:eastAsia="Times New Roman" w:hAnsi="Times New Roman"/>
      <w:b/>
      <w:bCs/>
    </w:rPr>
  </w:style>
  <w:style w:type="character" w:customStyle="1" w:styleId="Znakypropoznmkupodarou">
    <w:name w:val="Znaky pro poznámku pod čarou"/>
    <w:qFormat/>
    <w:rsid w:val="00D3291B"/>
  </w:style>
  <w:style w:type="character" w:customStyle="1" w:styleId="Ukotvenvysvtlivky">
    <w:name w:val="Ukotvení vysvětlivky"/>
    <w:rsid w:val="00D3291B"/>
    <w:rPr>
      <w:vertAlign w:val="superscript"/>
    </w:rPr>
  </w:style>
  <w:style w:type="character" w:customStyle="1" w:styleId="Znakyprovysvtlivky">
    <w:name w:val="Znaky pro vysvětlivky"/>
    <w:qFormat/>
    <w:rsid w:val="00D3291B"/>
  </w:style>
  <w:style w:type="paragraph" w:customStyle="1" w:styleId="Nadpis">
    <w:name w:val="Nadpis"/>
    <w:basedOn w:val="Normln"/>
    <w:next w:val="Tlotextu"/>
    <w:qFormat/>
    <w:rsid w:val="00D3291B"/>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D3291B"/>
    <w:pPr>
      <w:spacing w:after="140" w:line="288" w:lineRule="auto"/>
    </w:pPr>
    <w:rPr>
      <w:rFonts w:ascii="Calibri" w:eastAsia="Times New Roman" w:hAnsi="Calibri"/>
      <w:lang w:eastAsia="cs-CZ"/>
    </w:rPr>
  </w:style>
  <w:style w:type="paragraph" w:customStyle="1" w:styleId="Popisek">
    <w:name w:val="Popisek"/>
    <w:basedOn w:val="Normln"/>
    <w:rsid w:val="00D3291B"/>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D3291B"/>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D3291B"/>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D3291B"/>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D3291B"/>
    <w:rPr>
      <w:rFonts w:ascii="Calibri" w:eastAsia="Calibri" w:hAnsi="Calibri" w:cs="Times New Roman"/>
      <w:szCs w:val="20"/>
      <w:lang w:eastAsia="en-US" w:bidi="ar-SA"/>
    </w:rPr>
  </w:style>
  <w:style w:type="paragraph" w:customStyle="1" w:styleId="Podnadpis2">
    <w:name w:val="Podnadpis2"/>
    <w:uiPriority w:val="99"/>
    <w:qFormat/>
    <w:rsid w:val="00D3291B"/>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D3291B"/>
  </w:style>
  <w:style w:type="character" w:customStyle="1" w:styleId="WW8Num4z0">
    <w:name w:val="WW8Num4z0"/>
    <w:qFormat/>
    <w:rsid w:val="00D3291B"/>
  </w:style>
  <w:style w:type="character" w:customStyle="1" w:styleId="WW8Num6z0">
    <w:name w:val="WW8Num6z0"/>
    <w:qFormat/>
    <w:rsid w:val="00D3291B"/>
  </w:style>
  <w:style w:type="character" w:customStyle="1" w:styleId="WW8Num6z1">
    <w:name w:val="WW8Num6z1"/>
    <w:qFormat/>
    <w:rsid w:val="00D3291B"/>
  </w:style>
  <w:style w:type="character" w:customStyle="1" w:styleId="WW8Num6z2">
    <w:name w:val="WW8Num6z2"/>
    <w:qFormat/>
    <w:rsid w:val="00D3291B"/>
  </w:style>
  <w:style w:type="character" w:customStyle="1" w:styleId="WW8Num6z3">
    <w:name w:val="WW8Num6z3"/>
    <w:qFormat/>
    <w:rsid w:val="00D3291B"/>
  </w:style>
  <w:style w:type="character" w:customStyle="1" w:styleId="WW8Num6z4">
    <w:name w:val="WW8Num6z4"/>
    <w:qFormat/>
    <w:rsid w:val="00D3291B"/>
  </w:style>
  <w:style w:type="character" w:customStyle="1" w:styleId="WW8Num6z5">
    <w:name w:val="WW8Num6z5"/>
    <w:qFormat/>
    <w:rsid w:val="00D3291B"/>
  </w:style>
  <w:style w:type="character" w:customStyle="1" w:styleId="WW8Num6z6">
    <w:name w:val="WW8Num6z6"/>
    <w:qFormat/>
    <w:rsid w:val="00D3291B"/>
  </w:style>
  <w:style w:type="character" w:customStyle="1" w:styleId="WW8Num6z7">
    <w:name w:val="WW8Num6z7"/>
    <w:qFormat/>
    <w:rsid w:val="00D3291B"/>
  </w:style>
  <w:style w:type="character" w:customStyle="1" w:styleId="WW8Num6z8">
    <w:name w:val="WW8Num6z8"/>
    <w:qFormat/>
    <w:rsid w:val="00D3291B"/>
  </w:style>
  <w:style w:type="character" w:customStyle="1" w:styleId="WW8Num7z0">
    <w:name w:val="WW8Num7z0"/>
    <w:qFormat/>
    <w:rsid w:val="00D3291B"/>
  </w:style>
  <w:style w:type="character" w:customStyle="1" w:styleId="WW8Num7z1">
    <w:name w:val="WW8Num7z1"/>
    <w:qFormat/>
    <w:rsid w:val="00D3291B"/>
  </w:style>
  <w:style w:type="character" w:customStyle="1" w:styleId="WW8Num7z2">
    <w:name w:val="WW8Num7z2"/>
    <w:qFormat/>
    <w:rsid w:val="00D3291B"/>
  </w:style>
  <w:style w:type="character" w:customStyle="1" w:styleId="WW8Num7z3">
    <w:name w:val="WW8Num7z3"/>
    <w:qFormat/>
    <w:rsid w:val="00D3291B"/>
  </w:style>
  <w:style w:type="character" w:customStyle="1" w:styleId="WW8Num7z4">
    <w:name w:val="WW8Num7z4"/>
    <w:qFormat/>
    <w:rsid w:val="00D3291B"/>
  </w:style>
  <w:style w:type="character" w:customStyle="1" w:styleId="WW8Num7z5">
    <w:name w:val="WW8Num7z5"/>
    <w:qFormat/>
    <w:rsid w:val="00D3291B"/>
  </w:style>
  <w:style w:type="character" w:customStyle="1" w:styleId="WW8Num7z6">
    <w:name w:val="WW8Num7z6"/>
    <w:qFormat/>
    <w:rsid w:val="00D3291B"/>
  </w:style>
  <w:style w:type="character" w:customStyle="1" w:styleId="WW8Num7z7">
    <w:name w:val="WW8Num7z7"/>
    <w:qFormat/>
    <w:rsid w:val="00D3291B"/>
  </w:style>
  <w:style w:type="character" w:customStyle="1" w:styleId="WW8Num7z8">
    <w:name w:val="WW8Num7z8"/>
    <w:qFormat/>
    <w:rsid w:val="00D3291B"/>
  </w:style>
  <w:style w:type="character" w:customStyle="1" w:styleId="WW8Num5z0">
    <w:name w:val="WW8Num5z0"/>
    <w:qFormat/>
    <w:rsid w:val="00D3291B"/>
  </w:style>
  <w:style w:type="numbering" w:customStyle="1" w:styleId="WW8Num3">
    <w:name w:val="WW8Num3"/>
    <w:rsid w:val="00D3291B"/>
  </w:style>
  <w:style w:type="numbering" w:customStyle="1" w:styleId="WW8Num4">
    <w:name w:val="WW8Num4"/>
    <w:rsid w:val="00D3291B"/>
  </w:style>
  <w:style w:type="numbering" w:customStyle="1" w:styleId="WW8Num6">
    <w:name w:val="WW8Num6"/>
    <w:rsid w:val="00D3291B"/>
  </w:style>
  <w:style w:type="numbering" w:customStyle="1" w:styleId="WW8Num7">
    <w:name w:val="WW8Num7"/>
    <w:rsid w:val="00D3291B"/>
  </w:style>
  <w:style w:type="numbering" w:customStyle="1" w:styleId="WW8Num5">
    <w:name w:val="WW8Num5"/>
    <w:rsid w:val="00D3291B"/>
  </w:style>
  <w:style w:type="paragraph" w:customStyle="1" w:styleId="UZEI-logo">
    <w:name w:val="UZEI-logo"/>
    <w:basedOn w:val="Normln"/>
    <w:next w:val="M-nzev"/>
    <w:qFormat/>
    <w:rsid w:val="00D3291B"/>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D3291B"/>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D3291B"/>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D3291B"/>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D3291B"/>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D3291B"/>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D3291B"/>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D3291B"/>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D3291B"/>
  </w:style>
  <w:style w:type="table" w:customStyle="1" w:styleId="Mkatabulky7">
    <w:name w:val="Mřížka tabulky7"/>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D3291B"/>
  </w:style>
  <w:style w:type="table" w:customStyle="1" w:styleId="Mkatabulky31">
    <w:name w:val="Mřížka tabulky3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D3291B"/>
  </w:style>
  <w:style w:type="numbering" w:customStyle="1" w:styleId="WW8Num41">
    <w:name w:val="WW8Num41"/>
    <w:rsid w:val="00D3291B"/>
  </w:style>
  <w:style w:type="numbering" w:customStyle="1" w:styleId="WW8Num61">
    <w:name w:val="WW8Num61"/>
    <w:rsid w:val="00D3291B"/>
  </w:style>
  <w:style w:type="numbering" w:customStyle="1" w:styleId="WW8Num71">
    <w:name w:val="WW8Num71"/>
    <w:rsid w:val="00D3291B"/>
  </w:style>
  <w:style w:type="numbering" w:customStyle="1" w:styleId="WW8Num51">
    <w:name w:val="WW8Num51"/>
    <w:rsid w:val="00D3291B"/>
  </w:style>
  <w:style w:type="table" w:customStyle="1" w:styleId="Mkatabulky51">
    <w:name w:val="Mřížka tabulky5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D3291B"/>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D3291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D3291B"/>
  </w:style>
  <w:style w:type="paragraph" w:customStyle="1" w:styleId="footnotedescription">
    <w:name w:val="footnote description"/>
    <w:next w:val="Normln"/>
    <w:link w:val="footnotedescriptionChar"/>
    <w:hidden/>
    <w:qFormat/>
    <w:rsid w:val="00D3291B"/>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D3291B"/>
    <w:rPr>
      <w:rFonts w:ascii="Arial" w:eastAsia="Arial" w:hAnsi="Arial" w:cs="Arial"/>
      <w:color w:val="000000"/>
      <w:sz w:val="16"/>
      <w:lang w:eastAsia="cs-CZ"/>
    </w:rPr>
  </w:style>
  <w:style w:type="character" w:customStyle="1" w:styleId="footnotemark">
    <w:name w:val="footnote mark"/>
    <w:hidden/>
    <w:qFormat/>
    <w:rsid w:val="00D3291B"/>
    <w:rPr>
      <w:rFonts w:ascii="Arial" w:eastAsia="Arial" w:hAnsi="Arial" w:cs="Arial"/>
      <w:color w:val="000000"/>
      <w:sz w:val="16"/>
      <w:vertAlign w:val="superscript"/>
    </w:rPr>
  </w:style>
  <w:style w:type="table" w:customStyle="1" w:styleId="TableGrid">
    <w:name w:val="TableGrid"/>
    <w:rsid w:val="00D3291B"/>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D3291B"/>
  </w:style>
  <w:style w:type="table" w:customStyle="1" w:styleId="Mkatabulky32">
    <w:name w:val="Mřížka tabulky32"/>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D3291B"/>
  </w:style>
  <w:style w:type="numbering" w:customStyle="1" w:styleId="WW8Num42">
    <w:name w:val="WW8Num42"/>
    <w:rsid w:val="00D3291B"/>
  </w:style>
  <w:style w:type="numbering" w:customStyle="1" w:styleId="WW8Num62">
    <w:name w:val="WW8Num62"/>
    <w:rsid w:val="00D3291B"/>
  </w:style>
  <w:style w:type="numbering" w:customStyle="1" w:styleId="WW8Num72">
    <w:name w:val="WW8Num72"/>
    <w:rsid w:val="00D3291B"/>
  </w:style>
  <w:style w:type="numbering" w:customStyle="1" w:styleId="WW8Num52">
    <w:name w:val="WW8Num52"/>
    <w:rsid w:val="00D3291B"/>
  </w:style>
  <w:style w:type="table" w:customStyle="1" w:styleId="Mkatabulky52">
    <w:name w:val="Mřížka tabulky52"/>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D3291B"/>
  </w:style>
  <w:style w:type="table" w:customStyle="1" w:styleId="Mkatabulky71">
    <w:name w:val="Mřížka tabulky7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D3291B"/>
  </w:style>
  <w:style w:type="table" w:customStyle="1" w:styleId="Mkatabulky311">
    <w:name w:val="Mřížka tabulky31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D3291B"/>
  </w:style>
  <w:style w:type="numbering" w:customStyle="1" w:styleId="WW8Num411">
    <w:name w:val="WW8Num411"/>
    <w:rsid w:val="00D3291B"/>
  </w:style>
  <w:style w:type="numbering" w:customStyle="1" w:styleId="WW8Num611">
    <w:name w:val="WW8Num611"/>
    <w:rsid w:val="00D3291B"/>
  </w:style>
  <w:style w:type="numbering" w:customStyle="1" w:styleId="WW8Num711">
    <w:name w:val="WW8Num711"/>
    <w:rsid w:val="00D3291B"/>
  </w:style>
  <w:style w:type="numbering" w:customStyle="1" w:styleId="WW8Num511">
    <w:name w:val="WW8Num511"/>
    <w:rsid w:val="00D3291B"/>
  </w:style>
  <w:style w:type="table" w:customStyle="1" w:styleId="Mkatabulky511">
    <w:name w:val="Mřížka tabulky51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D3291B"/>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D3291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3291B"/>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D3291B"/>
  </w:style>
  <w:style w:type="character" w:customStyle="1" w:styleId="FootnoteCharacters">
    <w:name w:val="Footnote Characters"/>
    <w:qFormat/>
    <w:rsid w:val="00D3291B"/>
    <w:rPr>
      <w:vertAlign w:val="superscript"/>
    </w:rPr>
  </w:style>
  <w:style w:type="character" w:customStyle="1" w:styleId="ListLabel1">
    <w:name w:val="ListLabel 1"/>
    <w:qFormat/>
    <w:rsid w:val="00D3291B"/>
    <w:rPr>
      <w:rFonts w:cs="Times New Roman"/>
    </w:rPr>
  </w:style>
  <w:style w:type="character" w:customStyle="1" w:styleId="ListLabel2">
    <w:name w:val="ListLabel 2"/>
    <w:qFormat/>
    <w:rsid w:val="00D3291B"/>
    <w:rPr>
      <w:rFonts w:cs="Times New Roman"/>
    </w:rPr>
  </w:style>
  <w:style w:type="character" w:customStyle="1" w:styleId="ListLabel3">
    <w:name w:val="ListLabel 3"/>
    <w:qFormat/>
    <w:rsid w:val="00D3291B"/>
    <w:rPr>
      <w:rFonts w:cs="Times New Roman"/>
    </w:rPr>
  </w:style>
  <w:style w:type="character" w:customStyle="1" w:styleId="ListLabel4">
    <w:name w:val="ListLabel 4"/>
    <w:qFormat/>
    <w:rsid w:val="00D3291B"/>
    <w:rPr>
      <w:rFonts w:cs="Times New Roman"/>
    </w:rPr>
  </w:style>
  <w:style w:type="character" w:customStyle="1" w:styleId="ListLabel5">
    <w:name w:val="ListLabel 5"/>
    <w:qFormat/>
    <w:rsid w:val="00D3291B"/>
    <w:rPr>
      <w:rFonts w:cs="Times New Roman"/>
    </w:rPr>
  </w:style>
  <w:style w:type="character" w:customStyle="1" w:styleId="ListLabel6">
    <w:name w:val="ListLabel 6"/>
    <w:qFormat/>
    <w:rsid w:val="00D3291B"/>
    <w:rPr>
      <w:rFonts w:cs="Times New Roman"/>
    </w:rPr>
  </w:style>
  <w:style w:type="character" w:customStyle="1" w:styleId="ListLabel7">
    <w:name w:val="ListLabel 7"/>
    <w:qFormat/>
    <w:rsid w:val="00D3291B"/>
    <w:rPr>
      <w:rFonts w:cs="Times New Roman"/>
    </w:rPr>
  </w:style>
  <w:style w:type="character" w:customStyle="1" w:styleId="ListLabel8">
    <w:name w:val="ListLabel 8"/>
    <w:qFormat/>
    <w:rsid w:val="00D3291B"/>
    <w:rPr>
      <w:rFonts w:cs="Times New Roman"/>
    </w:rPr>
  </w:style>
  <w:style w:type="character" w:customStyle="1" w:styleId="ListLabel9">
    <w:name w:val="ListLabel 9"/>
    <w:qFormat/>
    <w:rsid w:val="00D3291B"/>
    <w:rPr>
      <w:rFonts w:cs="Times New Roman"/>
    </w:rPr>
  </w:style>
  <w:style w:type="character" w:customStyle="1" w:styleId="ListLabel10">
    <w:name w:val="ListLabel 10"/>
    <w:qFormat/>
    <w:rsid w:val="00D3291B"/>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D3291B"/>
    <w:rPr>
      <w:rFonts w:cs="Courier New"/>
    </w:rPr>
  </w:style>
  <w:style w:type="character" w:customStyle="1" w:styleId="ListLabel12">
    <w:name w:val="ListLabel 12"/>
    <w:qFormat/>
    <w:rsid w:val="00D3291B"/>
    <w:rPr>
      <w:rFonts w:cs="Courier New"/>
    </w:rPr>
  </w:style>
  <w:style w:type="character" w:customStyle="1" w:styleId="ListLabel13">
    <w:name w:val="ListLabel 13"/>
    <w:qFormat/>
    <w:rsid w:val="00D3291B"/>
    <w:rPr>
      <w:rFonts w:cs="Courier New"/>
    </w:rPr>
  </w:style>
  <w:style w:type="character" w:customStyle="1" w:styleId="ListLabel14">
    <w:name w:val="ListLabel 14"/>
    <w:qFormat/>
    <w:rsid w:val="00D3291B"/>
    <w:rPr>
      <w:rFonts w:ascii="Arial" w:eastAsia="Times New Roman" w:hAnsi="Arial" w:cs="Arial"/>
      <w:sz w:val="24"/>
    </w:rPr>
  </w:style>
  <w:style w:type="character" w:customStyle="1" w:styleId="ListLabel15">
    <w:name w:val="ListLabel 15"/>
    <w:qFormat/>
    <w:rsid w:val="00D3291B"/>
    <w:rPr>
      <w:rFonts w:cs="Courier New"/>
    </w:rPr>
  </w:style>
  <w:style w:type="character" w:customStyle="1" w:styleId="ListLabel16">
    <w:name w:val="ListLabel 16"/>
    <w:qFormat/>
    <w:rsid w:val="00D3291B"/>
    <w:rPr>
      <w:rFonts w:cs="Courier New"/>
    </w:rPr>
  </w:style>
  <w:style w:type="character" w:customStyle="1" w:styleId="ListLabel17">
    <w:name w:val="ListLabel 17"/>
    <w:qFormat/>
    <w:rsid w:val="00D3291B"/>
    <w:rPr>
      <w:rFonts w:cs="Courier New"/>
    </w:rPr>
  </w:style>
  <w:style w:type="character" w:customStyle="1" w:styleId="ListLabel18">
    <w:name w:val="ListLabel 18"/>
    <w:qFormat/>
    <w:rsid w:val="00D3291B"/>
    <w:rPr>
      <w:rFonts w:cs="Courier New"/>
    </w:rPr>
  </w:style>
  <w:style w:type="character" w:customStyle="1" w:styleId="ListLabel19">
    <w:name w:val="ListLabel 19"/>
    <w:qFormat/>
    <w:rsid w:val="00D3291B"/>
    <w:rPr>
      <w:rFonts w:cs="Courier New"/>
    </w:rPr>
  </w:style>
  <w:style w:type="character" w:customStyle="1" w:styleId="ListLabel20">
    <w:name w:val="ListLabel 20"/>
    <w:qFormat/>
    <w:rsid w:val="00D3291B"/>
    <w:rPr>
      <w:rFonts w:cs="Courier New"/>
    </w:rPr>
  </w:style>
  <w:style w:type="character" w:customStyle="1" w:styleId="ListLabel21">
    <w:name w:val="ListLabel 21"/>
    <w:qFormat/>
    <w:rsid w:val="00D3291B"/>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D3291B"/>
    <w:rPr>
      <w:rFonts w:cs="Courier New"/>
    </w:rPr>
  </w:style>
  <w:style w:type="character" w:customStyle="1" w:styleId="ListLabel23">
    <w:name w:val="ListLabel 23"/>
    <w:qFormat/>
    <w:rsid w:val="00D3291B"/>
    <w:rPr>
      <w:rFonts w:cs="Courier New"/>
    </w:rPr>
  </w:style>
  <w:style w:type="character" w:customStyle="1" w:styleId="ListLabel24">
    <w:name w:val="ListLabel 24"/>
    <w:qFormat/>
    <w:rsid w:val="00D3291B"/>
    <w:rPr>
      <w:rFonts w:cs="Courier New"/>
    </w:rPr>
  </w:style>
  <w:style w:type="character" w:customStyle="1" w:styleId="ListLabel25">
    <w:name w:val="ListLabel 25"/>
    <w:qFormat/>
    <w:rsid w:val="00D3291B"/>
    <w:rPr>
      <w:rFonts w:cs="Courier New"/>
    </w:rPr>
  </w:style>
  <w:style w:type="character" w:customStyle="1" w:styleId="ListLabel26">
    <w:name w:val="ListLabel 26"/>
    <w:qFormat/>
    <w:rsid w:val="00D3291B"/>
    <w:rPr>
      <w:rFonts w:cs="Courier New"/>
    </w:rPr>
  </w:style>
  <w:style w:type="character" w:customStyle="1" w:styleId="ListLabel27">
    <w:name w:val="ListLabel 27"/>
    <w:qFormat/>
    <w:rsid w:val="00D3291B"/>
    <w:rPr>
      <w:rFonts w:cs="Courier New"/>
    </w:rPr>
  </w:style>
  <w:style w:type="character" w:customStyle="1" w:styleId="ListLabel28">
    <w:name w:val="ListLabel 28"/>
    <w:qFormat/>
    <w:rsid w:val="00D3291B"/>
    <w:rPr>
      <w:rFonts w:cs="Courier New"/>
    </w:rPr>
  </w:style>
  <w:style w:type="character" w:customStyle="1" w:styleId="ListLabel29">
    <w:name w:val="ListLabel 29"/>
    <w:qFormat/>
    <w:rsid w:val="00D3291B"/>
    <w:rPr>
      <w:rFonts w:cs="Courier New"/>
    </w:rPr>
  </w:style>
  <w:style w:type="character" w:customStyle="1" w:styleId="ListLabel30">
    <w:name w:val="ListLabel 30"/>
    <w:qFormat/>
    <w:rsid w:val="00D3291B"/>
    <w:rPr>
      <w:rFonts w:cs="Courier New"/>
    </w:rPr>
  </w:style>
  <w:style w:type="paragraph" w:customStyle="1" w:styleId="Zkladntext1">
    <w:name w:val="Základní text1"/>
    <w:basedOn w:val="Normln"/>
    <w:rsid w:val="00D3291B"/>
    <w:pPr>
      <w:spacing w:after="140" w:line="288" w:lineRule="auto"/>
    </w:pPr>
    <w:rPr>
      <w:rFonts w:ascii="Calibri" w:eastAsia="Times New Roman" w:hAnsi="Calibri"/>
      <w:lang w:eastAsia="cs-CZ"/>
    </w:rPr>
  </w:style>
  <w:style w:type="paragraph" w:customStyle="1" w:styleId="Titulek1">
    <w:name w:val="Titulek1"/>
    <w:basedOn w:val="Normln"/>
    <w:qFormat/>
    <w:rsid w:val="00D3291B"/>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D3291B"/>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D3291B"/>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D3291B"/>
  </w:style>
  <w:style w:type="numbering" w:customStyle="1" w:styleId="Bezseznamu112">
    <w:name w:val="Bez seznamu112"/>
    <w:uiPriority w:val="99"/>
    <w:semiHidden/>
    <w:unhideWhenUsed/>
    <w:qFormat/>
    <w:rsid w:val="00D3291B"/>
  </w:style>
  <w:style w:type="numbering" w:customStyle="1" w:styleId="WW8Num33">
    <w:name w:val="WW8Num33"/>
    <w:qFormat/>
    <w:rsid w:val="00D3291B"/>
  </w:style>
  <w:style w:type="numbering" w:customStyle="1" w:styleId="WW8Num43">
    <w:name w:val="WW8Num43"/>
    <w:qFormat/>
    <w:rsid w:val="00D3291B"/>
  </w:style>
  <w:style w:type="numbering" w:customStyle="1" w:styleId="WW8Num63">
    <w:name w:val="WW8Num63"/>
    <w:qFormat/>
    <w:rsid w:val="00D3291B"/>
  </w:style>
  <w:style w:type="numbering" w:customStyle="1" w:styleId="WW8Num73">
    <w:name w:val="WW8Num73"/>
    <w:qFormat/>
    <w:rsid w:val="00D3291B"/>
  </w:style>
  <w:style w:type="numbering" w:customStyle="1" w:styleId="WW8Num53">
    <w:name w:val="WW8Num53"/>
    <w:qFormat/>
    <w:rsid w:val="00D3291B"/>
  </w:style>
  <w:style w:type="numbering" w:customStyle="1" w:styleId="Bezseznamu22">
    <w:name w:val="Bez seznamu22"/>
    <w:uiPriority w:val="99"/>
    <w:semiHidden/>
    <w:unhideWhenUsed/>
    <w:qFormat/>
    <w:rsid w:val="00D3291B"/>
  </w:style>
  <w:style w:type="numbering" w:customStyle="1" w:styleId="Bezseznamu1111">
    <w:name w:val="Bez seznamu1111"/>
    <w:uiPriority w:val="99"/>
    <w:semiHidden/>
    <w:unhideWhenUsed/>
    <w:qFormat/>
    <w:rsid w:val="00D3291B"/>
  </w:style>
  <w:style w:type="numbering" w:customStyle="1" w:styleId="WW8Num312">
    <w:name w:val="WW8Num312"/>
    <w:qFormat/>
    <w:rsid w:val="00D3291B"/>
  </w:style>
  <w:style w:type="numbering" w:customStyle="1" w:styleId="WW8Num412">
    <w:name w:val="WW8Num412"/>
    <w:qFormat/>
    <w:rsid w:val="00D3291B"/>
  </w:style>
  <w:style w:type="numbering" w:customStyle="1" w:styleId="WW8Num612">
    <w:name w:val="WW8Num612"/>
    <w:qFormat/>
    <w:rsid w:val="00D3291B"/>
  </w:style>
  <w:style w:type="numbering" w:customStyle="1" w:styleId="WW8Num712">
    <w:name w:val="WW8Num712"/>
    <w:qFormat/>
    <w:rsid w:val="00D3291B"/>
  </w:style>
  <w:style w:type="numbering" w:customStyle="1" w:styleId="WW8Num512">
    <w:name w:val="WW8Num512"/>
    <w:qFormat/>
    <w:rsid w:val="00D3291B"/>
  </w:style>
  <w:style w:type="numbering" w:customStyle="1" w:styleId="Bezseznamu31">
    <w:name w:val="Bez seznamu31"/>
    <w:uiPriority w:val="99"/>
    <w:semiHidden/>
    <w:unhideWhenUsed/>
    <w:qFormat/>
    <w:rsid w:val="00D3291B"/>
  </w:style>
  <w:style w:type="numbering" w:customStyle="1" w:styleId="Bezseznamu121">
    <w:name w:val="Bez seznamu121"/>
    <w:uiPriority w:val="99"/>
    <w:semiHidden/>
    <w:unhideWhenUsed/>
    <w:qFormat/>
    <w:rsid w:val="00D3291B"/>
  </w:style>
  <w:style w:type="numbering" w:customStyle="1" w:styleId="WW8Num321">
    <w:name w:val="WW8Num321"/>
    <w:qFormat/>
    <w:rsid w:val="00D3291B"/>
  </w:style>
  <w:style w:type="numbering" w:customStyle="1" w:styleId="WW8Num421">
    <w:name w:val="WW8Num421"/>
    <w:qFormat/>
    <w:rsid w:val="00D3291B"/>
  </w:style>
  <w:style w:type="numbering" w:customStyle="1" w:styleId="WW8Num621">
    <w:name w:val="WW8Num621"/>
    <w:qFormat/>
    <w:rsid w:val="00D3291B"/>
  </w:style>
  <w:style w:type="numbering" w:customStyle="1" w:styleId="WW8Num721">
    <w:name w:val="WW8Num721"/>
    <w:qFormat/>
    <w:rsid w:val="00D3291B"/>
  </w:style>
  <w:style w:type="numbering" w:customStyle="1" w:styleId="WW8Num521">
    <w:name w:val="WW8Num521"/>
    <w:qFormat/>
    <w:rsid w:val="00D3291B"/>
  </w:style>
  <w:style w:type="numbering" w:customStyle="1" w:styleId="Bezseznamu211">
    <w:name w:val="Bez seznamu211"/>
    <w:uiPriority w:val="99"/>
    <w:semiHidden/>
    <w:unhideWhenUsed/>
    <w:qFormat/>
    <w:rsid w:val="00D3291B"/>
  </w:style>
  <w:style w:type="numbering" w:customStyle="1" w:styleId="Bezseznamu11111">
    <w:name w:val="Bez seznamu11111"/>
    <w:uiPriority w:val="99"/>
    <w:semiHidden/>
    <w:unhideWhenUsed/>
    <w:qFormat/>
    <w:rsid w:val="00D3291B"/>
  </w:style>
  <w:style w:type="numbering" w:customStyle="1" w:styleId="WW8Num3111">
    <w:name w:val="WW8Num3111"/>
    <w:qFormat/>
    <w:rsid w:val="00D3291B"/>
  </w:style>
  <w:style w:type="numbering" w:customStyle="1" w:styleId="WW8Num4111">
    <w:name w:val="WW8Num4111"/>
    <w:qFormat/>
    <w:rsid w:val="00D3291B"/>
  </w:style>
  <w:style w:type="numbering" w:customStyle="1" w:styleId="WW8Num6111">
    <w:name w:val="WW8Num6111"/>
    <w:qFormat/>
    <w:rsid w:val="00D3291B"/>
  </w:style>
  <w:style w:type="numbering" w:customStyle="1" w:styleId="WW8Num7111">
    <w:name w:val="WW8Num7111"/>
    <w:qFormat/>
    <w:rsid w:val="00D3291B"/>
  </w:style>
  <w:style w:type="numbering" w:customStyle="1" w:styleId="WW8Num5111">
    <w:name w:val="WW8Num5111"/>
    <w:qFormat/>
    <w:rsid w:val="00D3291B"/>
  </w:style>
  <w:style w:type="numbering" w:customStyle="1" w:styleId="Bezseznamu41">
    <w:name w:val="Bez seznamu41"/>
    <w:uiPriority w:val="99"/>
    <w:semiHidden/>
    <w:unhideWhenUsed/>
    <w:qFormat/>
    <w:rsid w:val="00D3291B"/>
  </w:style>
  <w:style w:type="numbering" w:customStyle="1" w:styleId="Bezseznamu131">
    <w:name w:val="Bez seznamu131"/>
    <w:uiPriority w:val="99"/>
    <w:semiHidden/>
    <w:unhideWhenUsed/>
    <w:qFormat/>
    <w:rsid w:val="00D3291B"/>
  </w:style>
  <w:style w:type="numbering" w:customStyle="1" w:styleId="WW8Num331">
    <w:name w:val="WW8Num331"/>
    <w:qFormat/>
    <w:rsid w:val="00D3291B"/>
  </w:style>
  <w:style w:type="numbering" w:customStyle="1" w:styleId="WW8Num431">
    <w:name w:val="WW8Num431"/>
    <w:qFormat/>
    <w:rsid w:val="00D3291B"/>
  </w:style>
  <w:style w:type="numbering" w:customStyle="1" w:styleId="WW8Num631">
    <w:name w:val="WW8Num631"/>
    <w:qFormat/>
    <w:rsid w:val="00D3291B"/>
  </w:style>
  <w:style w:type="numbering" w:customStyle="1" w:styleId="WW8Num731">
    <w:name w:val="WW8Num731"/>
    <w:qFormat/>
    <w:rsid w:val="00D3291B"/>
  </w:style>
  <w:style w:type="numbering" w:customStyle="1" w:styleId="WW8Num531">
    <w:name w:val="WW8Num531"/>
    <w:qFormat/>
    <w:rsid w:val="00D3291B"/>
  </w:style>
  <w:style w:type="numbering" w:customStyle="1" w:styleId="Bezseznamu221">
    <w:name w:val="Bez seznamu221"/>
    <w:uiPriority w:val="99"/>
    <w:semiHidden/>
    <w:unhideWhenUsed/>
    <w:qFormat/>
    <w:rsid w:val="00D3291B"/>
  </w:style>
  <w:style w:type="numbering" w:customStyle="1" w:styleId="Bezseznamu1121">
    <w:name w:val="Bez seznamu1121"/>
    <w:uiPriority w:val="99"/>
    <w:semiHidden/>
    <w:unhideWhenUsed/>
    <w:qFormat/>
    <w:rsid w:val="00D3291B"/>
  </w:style>
  <w:style w:type="numbering" w:customStyle="1" w:styleId="WW8Num3121">
    <w:name w:val="WW8Num3121"/>
    <w:qFormat/>
    <w:rsid w:val="00D3291B"/>
  </w:style>
  <w:style w:type="numbering" w:customStyle="1" w:styleId="WW8Num4121">
    <w:name w:val="WW8Num4121"/>
    <w:qFormat/>
    <w:rsid w:val="00D3291B"/>
  </w:style>
  <w:style w:type="numbering" w:customStyle="1" w:styleId="WW8Num6121">
    <w:name w:val="WW8Num6121"/>
    <w:qFormat/>
    <w:rsid w:val="00D3291B"/>
  </w:style>
  <w:style w:type="numbering" w:customStyle="1" w:styleId="WW8Num7121">
    <w:name w:val="WW8Num7121"/>
    <w:qFormat/>
    <w:rsid w:val="00D3291B"/>
  </w:style>
  <w:style w:type="numbering" w:customStyle="1" w:styleId="WW8Num5121">
    <w:name w:val="WW8Num5121"/>
    <w:qFormat/>
    <w:rsid w:val="00D3291B"/>
  </w:style>
  <w:style w:type="numbering" w:customStyle="1" w:styleId="Bezseznamu311">
    <w:name w:val="Bez seznamu311"/>
    <w:uiPriority w:val="99"/>
    <w:semiHidden/>
    <w:unhideWhenUsed/>
    <w:qFormat/>
    <w:rsid w:val="00D3291B"/>
  </w:style>
  <w:style w:type="numbering" w:customStyle="1" w:styleId="Bezseznamu1211">
    <w:name w:val="Bez seznamu1211"/>
    <w:uiPriority w:val="99"/>
    <w:semiHidden/>
    <w:unhideWhenUsed/>
    <w:qFormat/>
    <w:rsid w:val="00D3291B"/>
  </w:style>
  <w:style w:type="numbering" w:customStyle="1" w:styleId="WW8Num3211">
    <w:name w:val="WW8Num3211"/>
    <w:qFormat/>
    <w:rsid w:val="00D3291B"/>
  </w:style>
  <w:style w:type="numbering" w:customStyle="1" w:styleId="WW8Num4211">
    <w:name w:val="WW8Num4211"/>
    <w:qFormat/>
    <w:rsid w:val="00D3291B"/>
  </w:style>
  <w:style w:type="numbering" w:customStyle="1" w:styleId="WW8Num6211">
    <w:name w:val="WW8Num6211"/>
    <w:qFormat/>
    <w:rsid w:val="00D3291B"/>
  </w:style>
  <w:style w:type="numbering" w:customStyle="1" w:styleId="WW8Num7211">
    <w:name w:val="WW8Num7211"/>
    <w:qFormat/>
    <w:rsid w:val="00D3291B"/>
  </w:style>
  <w:style w:type="numbering" w:customStyle="1" w:styleId="WW8Num5211">
    <w:name w:val="WW8Num5211"/>
    <w:qFormat/>
    <w:rsid w:val="00D3291B"/>
  </w:style>
  <w:style w:type="numbering" w:customStyle="1" w:styleId="Bezseznamu2111">
    <w:name w:val="Bez seznamu2111"/>
    <w:uiPriority w:val="99"/>
    <w:semiHidden/>
    <w:unhideWhenUsed/>
    <w:qFormat/>
    <w:rsid w:val="00D3291B"/>
  </w:style>
  <w:style w:type="numbering" w:customStyle="1" w:styleId="Bezseznamu111111">
    <w:name w:val="Bez seznamu111111"/>
    <w:uiPriority w:val="99"/>
    <w:semiHidden/>
    <w:unhideWhenUsed/>
    <w:qFormat/>
    <w:rsid w:val="00D3291B"/>
  </w:style>
  <w:style w:type="numbering" w:customStyle="1" w:styleId="WW8Num31111">
    <w:name w:val="WW8Num31111"/>
    <w:qFormat/>
    <w:rsid w:val="00D3291B"/>
  </w:style>
  <w:style w:type="numbering" w:customStyle="1" w:styleId="WW8Num41111">
    <w:name w:val="WW8Num41111"/>
    <w:qFormat/>
    <w:rsid w:val="00D3291B"/>
  </w:style>
  <w:style w:type="numbering" w:customStyle="1" w:styleId="WW8Num61111">
    <w:name w:val="WW8Num61111"/>
    <w:qFormat/>
    <w:rsid w:val="00D3291B"/>
  </w:style>
  <w:style w:type="numbering" w:customStyle="1" w:styleId="WW8Num71111">
    <w:name w:val="WW8Num71111"/>
    <w:qFormat/>
    <w:rsid w:val="00D3291B"/>
  </w:style>
  <w:style w:type="numbering" w:customStyle="1" w:styleId="WW8Num51111">
    <w:name w:val="WW8Num51111"/>
    <w:qFormat/>
    <w:rsid w:val="00D3291B"/>
  </w:style>
  <w:style w:type="numbering" w:customStyle="1" w:styleId="Bezseznamu5">
    <w:name w:val="Bez seznamu5"/>
    <w:uiPriority w:val="99"/>
    <w:semiHidden/>
    <w:unhideWhenUsed/>
    <w:qFormat/>
    <w:rsid w:val="00D3291B"/>
  </w:style>
  <w:style w:type="numbering" w:customStyle="1" w:styleId="Bezseznamu14">
    <w:name w:val="Bez seznamu14"/>
    <w:uiPriority w:val="99"/>
    <w:semiHidden/>
    <w:unhideWhenUsed/>
    <w:qFormat/>
    <w:rsid w:val="00D3291B"/>
  </w:style>
  <w:style w:type="numbering" w:customStyle="1" w:styleId="WW8Num34">
    <w:name w:val="WW8Num34"/>
    <w:qFormat/>
    <w:rsid w:val="00D3291B"/>
  </w:style>
  <w:style w:type="numbering" w:customStyle="1" w:styleId="WW8Num44">
    <w:name w:val="WW8Num44"/>
    <w:qFormat/>
    <w:rsid w:val="00D3291B"/>
  </w:style>
  <w:style w:type="numbering" w:customStyle="1" w:styleId="WW8Num64">
    <w:name w:val="WW8Num64"/>
    <w:qFormat/>
    <w:rsid w:val="00D3291B"/>
  </w:style>
  <w:style w:type="numbering" w:customStyle="1" w:styleId="WW8Num74">
    <w:name w:val="WW8Num74"/>
    <w:qFormat/>
    <w:rsid w:val="00D3291B"/>
  </w:style>
  <w:style w:type="numbering" w:customStyle="1" w:styleId="WW8Num54">
    <w:name w:val="WW8Num54"/>
    <w:qFormat/>
    <w:rsid w:val="00D3291B"/>
  </w:style>
  <w:style w:type="numbering" w:customStyle="1" w:styleId="Bezseznamu23">
    <w:name w:val="Bez seznamu23"/>
    <w:uiPriority w:val="99"/>
    <w:semiHidden/>
    <w:unhideWhenUsed/>
    <w:qFormat/>
    <w:rsid w:val="00D3291B"/>
  </w:style>
  <w:style w:type="numbering" w:customStyle="1" w:styleId="Bezseznamu113">
    <w:name w:val="Bez seznamu113"/>
    <w:uiPriority w:val="99"/>
    <w:semiHidden/>
    <w:unhideWhenUsed/>
    <w:qFormat/>
    <w:rsid w:val="00D3291B"/>
  </w:style>
  <w:style w:type="numbering" w:customStyle="1" w:styleId="WW8Num313">
    <w:name w:val="WW8Num313"/>
    <w:qFormat/>
    <w:rsid w:val="00D3291B"/>
  </w:style>
  <w:style w:type="numbering" w:customStyle="1" w:styleId="WW8Num413">
    <w:name w:val="WW8Num413"/>
    <w:qFormat/>
    <w:rsid w:val="00D3291B"/>
  </w:style>
  <w:style w:type="numbering" w:customStyle="1" w:styleId="WW8Num613">
    <w:name w:val="WW8Num613"/>
    <w:qFormat/>
    <w:rsid w:val="00D3291B"/>
  </w:style>
  <w:style w:type="numbering" w:customStyle="1" w:styleId="WW8Num713">
    <w:name w:val="WW8Num713"/>
    <w:qFormat/>
    <w:rsid w:val="00D3291B"/>
  </w:style>
  <w:style w:type="numbering" w:customStyle="1" w:styleId="WW8Num513">
    <w:name w:val="WW8Num513"/>
    <w:qFormat/>
    <w:rsid w:val="00D3291B"/>
  </w:style>
  <w:style w:type="numbering" w:customStyle="1" w:styleId="Bezseznamu32">
    <w:name w:val="Bez seznamu32"/>
    <w:uiPriority w:val="99"/>
    <w:semiHidden/>
    <w:unhideWhenUsed/>
    <w:qFormat/>
    <w:rsid w:val="00D3291B"/>
  </w:style>
  <w:style w:type="numbering" w:customStyle="1" w:styleId="Bezseznamu122">
    <w:name w:val="Bez seznamu122"/>
    <w:uiPriority w:val="99"/>
    <w:semiHidden/>
    <w:unhideWhenUsed/>
    <w:qFormat/>
    <w:rsid w:val="00D3291B"/>
  </w:style>
  <w:style w:type="numbering" w:customStyle="1" w:styleId="WW8Num322">
    <w:name w:val="WW8Num322"/>
    <w:qFormat/>
    <w:rsid w:val="00D3291B"/>
  </w:style>
  <w:style w:type="numbering" w:customStyle="1" w:styleId="WW8Num422">
    <w:name w:val="WW8Num422"/>
    <w:qFormat/>
    <w:rsid w:val="00D3291B"/>
  </w:style>
  <w:style w:type="numbering" w:customStyle="1" w:styleId="WW8Num622">
    <w:name w:val="WW8Num622"/>
    <w:qFormat/>
    <w:rsid w:val="00D3291B"/>
  </w:style>
  <w:style w:type="numbering" w:customStyle="1" w:styleId="WW8Num722">
    <w:name w:val="WW8Num722"/>
    <w:qFormat/>
    <w:rsid w:val="00D3291B"/>
  </w:style>
  <w:style w:type="numbering" w:customStyle="1" w:styleId="WW8Num522">
    <w:name w:val="WW8Num522"/>
    <w:qFormat/>
    <w:rsid w:val="00D3291B"/>
  </w:style>
  <w:style w:type="numbering" w:customStyle="1" w:styleId="Bezseznamu212">
    <w:name w:val="Bez seznamu212"/>
    <w:uiPriority w:val="99"/>
    <w:semiHidden/>
    <w:unhideWhenUsed/>
    <w:qFormat/>
    <w:rsid w:val="00D3291B"/>
  </w:style>
  <w:style w:type="numbering" w:customStyle="1" w:styleId="Bezseznamu1112">
    <w:name w:val="Bez seznamu1112"/>
    <w:uiPriority w:val="99"/>
    <w:semiHidden/>
    <w:unhideWhenUsed/>
    <w:qFormat/>
    <w:rsid w:val="00D3291B"/>
  </w:style>
  <w:style w:type="numbering" w:customStyle="1" w:styleId="WW8Num3112">
    <w:name w:val="WW8Num3112"/>
    <w:qFormat/>
    <w:rsid w:val="00D3291B"/>
  </w:style>
  <w:style w:type="numbering" w:customStyle="1" w:styleId="WW8Num4112">
    <w:name w:val="WW8Num4112"/>
    <w:qFormat/>
    <w:rsid w:val="00D3291B"/>
  </w:style>
  <w:style w:type="numbering" w:customStyle="1" w:styleId="WW8Num6112">
    <w:name w:val="WW8Num6112"/>
    <w:qFormat/>
    <w:rsid w:val="00D3291B"/>
  </w:style>
  <w:style w:type="numbering" w:customStyle="1" w:styleId="WW8Num7112">
    <w:name w:val="WW8Num7112"/>
    <w:qFormat/>
    <w:rsid w:val="00D3291B"/>
  </w:style>
  <w:style w:type="numbering" w:customStyle="1" w:styleId="WW8Num5112">
    <w:name w:val="WW8Num5112"/>
    <w:qFormat/>
    <w:rsid w:val="00D3291B"/>
  </w:style>
  <w:style w:type="table" w:customStyle="1" w:styleId="Mkatabulky13">
    <w:name w:val="Mřížka tabulky13"/>
    <w:basedOn w:val="Normlntabulka"/>
    <w:next w:val="Mkatabulky"/>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D3291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D3291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D3291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D3291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D3291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D3291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D3291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D3291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3291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D3291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D3291B"/>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D3291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D3291B"/>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D329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D3291B"/>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D3291B"/>
  </w:style>
  <w:style w:type="character" w:customStyle="1" w:styleId="eop">
    <w:name w:val="eop"/>
    <w:rsid w:val="00D3291B"/>
  </w:style>
  <w:style w:type="numbering" w:customStyle="1" w:styleId="Bezseznamu6">
    <w:name w:val="Bez seznamu6"/>
    <w:next w:val="Bezseznamu"/>
    <w:uiPriority w:val="99"/>
    <w:semiHidden/>
    <w:unhideWhenUsed/>
    <w:rsid w:val="00D3291B"/>
  </w:style>
  <w:style w:type="numbering" w:customStyle="1" w:styleId="Bezseznamu15">
    <w:name w:val="Bez seznamu15"/>
    <w:next w:val="Bezseznamu"/>
    <w:uiPriority w:val="99"/>
    <w:semiHidden/>
    <w:unhideWhenUsed/>
    <w:rsid w:val="00D3291B"/>
  </w:style>
  <w:style w:type="numbering" w:customStyle="1" w:styleId="Bezseznamu114">
    <w:name w:val="Bez seznamu114"/>
    <w:next w:val="Bezseznamu"/>
    <w:uiPriority w:val="99"/>
    <w:semiHidden/>
    <w:unhideWhenUsed/>
    <w:rsid w:val="00D3291B"/>
  </w:style>
  <w:style w:type="numbering" w:customStyle="1" w:styleId="WW8Num35">
    <w:name w:val="WW8Num35"/>
    <w:rsid w:val="00D3291B"/>
  </w:style>
  <w:style w:type="numbering" w:customStyle="1" w:styleId="WW8Num45">
    <w:name w:val="WW8Num45"/>
    <w:rsid w:val="00D3291B"/>
  </w:style>
  <w:style w:type="numbering" w:customStyle="1" w:styleId="WW8Num65">
    <w:name w:val="WW8Num65"/>
    <w:rsid w:val="00D3291B"/>
  </w:style>
  <w:style w:type="numbering" w:customStyle="1" w:styleId="WW8Num75">
    <w:name w:val="WW8Num75"/>
    <w:rsid w:val="00D3291B"/>
  </w:style>
  <w:style w:type="numbering" w:customStyle="1" w:styleId="WW8Num55">
    <w:name w:val="WW8Num55"/>
    <w:rsid w:val="00D3291B"/>
  </w:style>
  <w:style w:type="numbering" w:customStyle="1" w:styleId="Bezseznamu24">
    <w:name w:val="Bez seznamu24"/>
    <w:next w:val="Bezseznamu"/>
    <w:uiPriority w:val="99"/>
    <w:semiHidden/>
    <w:unhideWhenUsed/>
    <w:rsid w:val="00D3291B"/>
  </w:style>
  <w:style w:type="numbering" w:customStyle="1" w:styleId="Bezseznamu1113">
    <w:name w:val="Bez seznamu1113"/>
    <w:next w:val="Bezseznamu"/>
    <w:uiPriority w:val="99"/>
    <w:semiHidden/>
    <w:unhideWhenUsed/>
    <w:rsid w:val="00D3291B"/>
  </w:style>
  <w:style w:type="numbering" w:customStyle="1" w:styleId="WW8Num314">
    <w:name w:val="WW8Num314"/>
    <w:rsid w:val="00D3291B"/>
  </w:style>
  <w:style w:type="numbering" w:customStyle="1" w:styleId="WW8Num414">
    <w:name w:val="WW8Num414"/>
    <w:rsid w:val="00D3291B"/>
  </w:style>
  <w:style w:type="numbering" w:customStyle="1" w:styleId="WW8Num614">
    <w:name w:val="WW8Num614"/>
    <w:rsid w:val="00D3291B"/>
  </w:style>
  <w:style w:type="numbering" w:customStyle="1" w:styleId="WW8Num714">
    <w:name w:val="WW8Num714"/>
    <w:rsid w:val="00D3291B"/>
  </w:style>
  <w:style w:type="numbering" w:customStyle="1" w:styleId="WW8Num514">
    <w:name w:val="WW8Num514"/>
    <w:rsid w:val="00D3291B"/>
  </w:style>
  <w:style w:type="numbering" w:customStyle="1" w:styleId="Bezseznamu33">
    <w:name w:val="Bez seznamu33"/>
    <w:next w:val="Bezseznamu"/>
    <w:uiPriority w:val="99"/>
    <w:semiHidden/>
    <w:unhideWhenUsed/>
    <w:rsid w:val="00D3291B"/>
  </w:style>
  <w:style w:type="numbering" w:customStyle="1" w:styleId="Bezseznamu123">
    <w:name w:val="Bez seznamu123"/>
    <w:next w:val="Bezseznamu"/>
    <w:uiPriority w:val="99"/>
    <w:semiHidden/>
    <w:unhideWhenUsed/>
    <w:rsid w:val="00D3291B"/>
  </w:style>
  <w:style w:type="numbering" w:customStyle="1" w:styleId="WW8Num323">
    <w:name w:val="WW8Num323"/>
    <w:rsid w:val="00D3291B"/>
  </w:style>
  <w:style w:type="numbering" w:customStyle="1" w:styleId="WW8Num423">
    <w:name w:val="WW8Num423"/>
    <w:rsid w:val="00D3291B"/>
  </w:style>
  <w:style w:type="numbering" w:customStyle="1" w:styleId="WW8Num623">
    <w:name w:val="WW8Num623"/>
    <w:rsid w:val="00D3291B"/>
  </w:style>
  <w:style w:type="numbering" w:customStyle="1" w:styleId="WW8Num723">
    <w:name w:val="WW8Num723"/>
    <w:rsid w:val="00D3291B"/>
  </w:style>
  <w:style w:type="numbering" w:customStyle="1" w:styleId="WW8Num523">
    <w:name w:val="WW8Num523"/>
    <w:rsid w:val="00D3291B"/>
  </w:style>
  <w:style w:type="numbering" w:customStyle="1" w:styleId="Bezseznamu213">
    <w:name w:val="Bez seznamu213"/>
    <w:next w:val="Bezseznamu"/>
    <w:uiPriority w:val="99"/>
    <w:semiHidden/>
    <w:unhideWhenUsed/>
    <w:rsid w:val="00D3291B"/>
  </w:style>
  <w:style w:type="numbering" w:customStyle="1" w:styleId="Bezseznamu11112">
    <w:name w:val="Bez seznamu11112"/>
    <w:next w:val="Bezseznamu"/>
    <w:uiPriority w:val="99"/>
    <w:semiHidden/>
    <w:unhideWhenUsed/>
    <w:qFormat/>
    <w:rsid w:val="00D3291B"/>
  </w:style>
  <w:style w:type="numbering" w:customStyle="1" w:styleId="WW8Num3113">
    <w:name w:val="WW8Num3113"/>
    <w:rsid w:val="00D3291B"/>
  </w:style>
  <w:style w:type="numbering" w:customStyle="1" w:styleId="WW8Num4113">
    <w:name w:val="WW8Num4113"/>
    <w:rsid w:val="00D3291B"/>
  </w:style>
  <w:style w:type="numbering" w:customStyle="1" w:styleId="WW8Num6113">
    <w:name w:val="WW8Num6113"/>
    <w:rsid w:val="00D3291B"/>
  </w:style>
  <w:style w:type="numbering" w:customStyle="1" w:styleId="WW8Num7113">
    <w:name w:val="WW8Num7113"/>
    <w:rsid w:val="00D3291B"/>
  </w:style>
  <w:style w:type="numbering" w:customStyle="1" w:styleId="WW8Num5113">
    <w:name w:val="WW8Num5113"/>
    <w:rsid w:val="00D3291B"/>
  </w:style>
  <w:style w:type="numbering" w:customStyle="1" w:styleId="Bezseznamu42">
    <w:name w:val="Bez seznamu42"/>
    <w:next w:val="Bezseznamu"/>
    <w:uiPriority w:val="99"/>
    <w:semiHidden/>
    <w:unhideWhenUsed/>
    <w:rsid w:val="00D3291B"/>
  </w:style>
  <w:style w:type="numbering" w:customStyle="1" w:styleId="Bezseznamu132">
    <w:name w:val="Bez seznamu132"/>
    <w:uiPriority w:val="99"/>
    <w:semiHidden/>
    <w:unhideWhenUsed/>
    <w:qFormat/>
    <w:rsid w:val="00D3291B"/>
  </w:style>
  <w:style w:type="numbering" w:customStyle="1" w:styleId="Bezseznamu1122">
    <w:name w:val="Bez seznamu1122"/>
    <w:uiPriority w:val="99"/>
    <w:semiHidden/>
    <w:unhideWhenUsed/>
    <w:qFormat/>
    <w:rsid w:val="00D3291B"/>
  </w:style>
  <w:style w:type="numbering" w:customStyle="1" w:styleId="WW8Num332">
    <w:name w:val="WW8Num332"/>
    <w:qFormat/>
    <w:rsid w:val="00D3291B"/>
  </w:style>
  <w:style w:type="numbering" w:customStyle="1" w:styleId="WW8Num432">
    <w:name w:val="WW8Num432"/>
    <w:qFormat/>
    <w:rsid w:val="00D3291B"/>
  </w:style>
  <w:style w:type="numbering" w:customStyle="1" w:styleId="WW8Num632">
    <w:name w:val="WW8Num632"/>
    <w:qFormat/>
    <w:rsid w:val="00D3291B"/>
  </w:style>
  <w:style w:type="numbering" w:customStyle="1" w:styleId="WW8Num732">
    <w:name w:val="WW8Num732"/>
    <w:qFormat/>
    <w:rsid w:val="00D3291B"/>
  </w:style>
  <w:style w:type="numbering" w:customStyle="1" w:styleId="WW8Num532">
    <w:name w:val="WW8Num532"/>
    <w:qFormat/>
    <w:rsid w:val="00D3291B"/>
  </w:style>
  <w:style w:type="numbering" w:customStyle="1" w:styleId="Bezseznamu222">
    <w:name w:val="Bez seznamu222"/>
    <w:uiPriority w:val="99"/>
    <w:semiHidden/>
    <w:unhideWhenUsed/>
    <w:qFormat/>
    <w:rsid w:val="00D3291B"/>
  </w:style>
  <w:style w:type="numbering" w:customStyle="1" w:styleId="Bezseznamu111112">
    <w:name w:val="Bez seznamu111112"/>
    <w:uiPriority w:val="99"/>
    <w:semiHidden/>
    <w:unhideWhenUsed/>
    <w:qFormat/>
    <w:rsid w:val="00D3291B"/>
  </w:style>
  <w:style w:type="numbering" w:customStyle="1" w:styleId="WW8Num3122">
    <w:name w:val="WW8Num3122"/>
    <w:qFormat/>
    <w:rsid w:val="00D3291B"/>
  </w:style>
  <w:style w:type="numbering" w:customStyle="1" w:styleId="WW8Num4122">
    <w:name w:val="WW8Num4122"/>
    <w:qFormat/>
    <w:rsid w:val="00D3291B"/>
  </w:style>
  <w:style w:type="numbering" w:customStyle="1" w:styleId="WW8Num6122">
    <w:name w:val="WW8Num6122"/>
    <w:qFormat/>
    <w:rsid w:val="00D3291B"/>
  </w:style>
  <w:style w:type="numbering" w:customStyle="1" w:styleId="WW8Num7122">
    <w:name w:val="WW8Num7122"/>
    <w:qFormat/>
    <w:rsid w:val="00D3291B"/>
  </w:style>
  <w:style w:type="numbering" w:customStyle="1" w:styleId="WW8Num5122">
    <w:name w:val="WW8Num5122"/>
    <w:qFormat/>
    <w:rsid w:val="00D3291B"/>
  </w:style>
  <w:style w:type="numbering" w:customStyle="1" w:styleId="Bezseznamu312">
    <w:name w:val="Bez seznamu312"/>
    <w:uiPriority w:val="99"/>
    <w:semiHidden/>
    <w:unhideWhenUsed/>
    <w:qFormat/>
    <w:rsid w:val="00D3291B"/>
  </w:style>
  <w:style w:type="numbering" w:customStyle="1" w:styleId="Bezseznamu1212">
    <w:name w:val="Bez seznamu1212"/>
    <w:uiPriority w:val="99"/>
    <w:semiHidden/>
    <w:unhideWhenUsed/>
    <w:qFormat/>
    <w:rsid w:val="00D3291B"/>
  </w:style>
  <w:style w:type="numbering" w:customStyle="1" w:styleId="WW8Num3212">
    <w:name w:val="WW8Num3212"/>
    <w:qFormat/>
    <w:rsid w:val="00D3291B"/>
  </w:style>
  <w:style w:type="numbering" w:customStyle="1" w:styleId="WW8Num4212">
    <w:name w:val="WW8Num4212"/>
    <w:qFormat/>
    <w:rsid w:val="00D3291B"/>
  </w:style>
  <w:style w:type="numbering" w:customStyle="1" w:styleId="WW8Num6212">
    <w:name w:val="WW8Num6212"/>
    <w:qFormat/>
    <w:rsid w:val="00D3291B"/>
  </w:style>
  <w:style w:type="numbering" w:customStyle="1" w:styleId="WW8Num7212">
    <w:name w:val="WW8Num7212"/>
    <w:qFormat/>
    <w:rsid w:val="00D3291B"/>
  </w:style>
  <w:style w:type="numbering" w:customStyle="1" w:styleId="WW8Num5212">
    <w:name w:val="WW8Num5212"/>
    <w:qFormat/>
    <w:rsid w:val="00D3291B"/>
  </w:style>
  <w:style w:type="numbering" w:customStyle="1" w:styleId="Bezseznamu2112">
    <w:name w:val="Bez seznamu2112"/>
    <w:uiPriority w:val="99"/>
    <w:semiHidden/>
    <w:unhideWhenUsed/>
    <w:qFormat/>
    <w:rsid w:val="00D3291B"/>
  </w:style>
  <w:style w:type="numbering" w:customStyle="1" w:styleId="Bezseznamu1111111">
    <w:name w:val="Bez seznamu1111111"/>
    <w:uiPriority w:val="99"/>
    <w:semiHidden/>
    <w:unhideWhenUsed/>
    <w:qFormat/>
    <w:rsid w:val="00D3291B"/>
  </w:style>
  <w:style w:type="numbering" w:customStyle="1" w:styleId="WW8Num31112">
    <w:name w:val="WW8Num31112"/>
    <w:qFormat/>
    <w:rsid w:val="00D3291B"/>
  </w:style>
  <w:style w:type="numbering" w:customStyle="1" w:styleId="WW8Num41112">
    <w:name w:val="WW8Num41112"/>
    <w:qFormat/>
    <w:rsid w:val="00D3291B"/>
  </w:style>
  <w:style w:type="numbering" w:customStyle="1" w:styleId="WW8Num61112">
    <w:name w:val="WW8Num61112"/>
    <w:qFormat/>
    <w:rsid w:val="00D3291B"/>
  </w:style>
  <w:style w:type="numbering" w:customStyle="1" w:styleId="WW8Num71112">
    <w:name w:val="WW8Num71112"/>
    <w:qFormat/>
    <w:rsid w:val="00D3291B"/>
  </w:style>
  <w:style w:type="numbering" w:customStyle="1" w:styleId="WW8Num51112">
    <w:name w:val="WW8Num51112"/>
    <w:qFormat/>
    <w:rsid w:val="00D3291B"/>
  </w:style>
  <w:style w:type="numbering" w:customStyle="1" w:styleId="Bezseznamu411">
    <w:name w:val="Bez seznamu411"/>
    <w:uiPriority w:val="99"/>
    <w:semiHidden/>
    <w:unhideWhenUsed/>
    <w:qFormat/>
    <w:rsid w:val="00D3291B"/>
  </w:style>
  <w:style w:type="numbering" w:customStyle="1" w:styleId="Bezseznamu1311">
    <w:name w:val="Bez seznamu1311"/>
    <w:uiPriority w:val="99"/>
    <w:semiHidden/>
    <w:unhideWhenUsed/>
    <w:qFormat/>
    <w:rsid w:val="00D3291B"/>
  </w:style>
  <w:style w:type="numbering" w:customStyle="1" w:styleId="WW8Num3311">
    <w:name w:val="WW8Num3311"/>
    <w:qFormat/>
    <w:rsid w:val="00D3291B"/>
  </w:style>
  <w:style w:type="numbering" w:customStyle="1" w:styleId="WW8Num4311">
    <w:name w:val="WW8Num4311"/>
    <w:qFormat/>
    <w:rsid w:val="00D3291B"/>
  </w:style>
  <w:style w:type="numbering" w:customStyle="1" w:styleId="WW8Num6311">
    <w:name w:val="WW8Num6311"/>
    <w:qFormat/>
    <w:rsid w:val="00D3291B"/>
  </w:style>
  <w:style w:type="numbering" w:customStyle="1" w:styleId="WW8Num7311">
    <w:name w:val="WW8Num7311"/>
    <w:qFormat/>
    <w:rsid w:val="00D3291B"/>
  </w:style>
  <w:style w:type="numbering" w:customStyle="1" w:styleId="WW8Num5311">
    <w:name w:val="WW8Num5311"/>
    <w:qFormat/>
    <w:rsid w:val="00D3291B"/>
  </w:style>
  <w:style w:type="numbering" w:customStyle="1" w:styleId="Bezseznamu2211">
    <w:name w:val="Bez seznamu2211"/>
    <w:uiPriority w:val="99"/>
    <w:semiHidden/>
    <w:unhideWhenUsed/>
    <w:qFormat/>
    <w:rsid w:val="00D3291B"/>
  </w:style>
  <w:style w:type="numbering" w:customStyle="1" w:styleId="Bezseznamu11211">
    <w:name w:val="Bez seznamu11211"/>
    <w:uiPriority w:val="99"/>
    <w:semiHidden/>
    <w:unhideWhenUsed/>
    <w:qFormat/>
    <w:rsid w:val="00D3291B"/>
  </w:style>
  <w:style w:type="numbering" w:customStyle="1" w:styleId="WW8Num31211">
    <w:name w:val="WW8Num31211"/>
    <w:qFormat/>
    <w:rsid w:val="00D3291B"/>
  </w:style>
  <w:style w:type="numbering" w:customStyle="1" w:styleId="WW8Num41211">
    <w:name w:val="WW8Num41211"/>
    <w:qFormat/>
    <w:rsid w:val="00D3291B"/>
  </w:style>
  <w:style w:type="numbering" w:customStyle="1" w:styleId="WW8Num61211">
    <w:name w:val="WW8Num61211"/>
    <w:qFormat/>
    <w:rsid w:val="00D3291B"/>
  </w:style>
  <w:style w:type="numbering" w:customStyle="1" w:styleId="WW8Num71211">
    <w:name w:val="WW8Num71211"/>
    <w:qFormat/>
    <w:rsid w:val="00D3291B"/>
  </w:style>
  <w:style w:type="numbering" w:customStyle="1" w:styleId="WW8Num51211">
    <w:name w:val="WW8Num51211"/>
    <w:qFormat/>
    <w:rsid w:val="00D3291B"/>
  </w:style>
  <w:style w:type="numbering" w:customStyle="1" w:styleId="Bezseznamu3111">
    <w:name w:val="Bez seznamu3111"/>
    <w:uiPriority w:val="99"/>
    <w:semiHidden/>
    <w:unhideWhenUsed/>
    <w:qFormat/>
    <w:rsid w:val="00D3291B"/>
  </w:style>
  <w:style w:type="numbering" w:customStyle="1" w:styleId="Bezseznamu12111">
    <w:name w:val="Bez seznamu12111"/>
    <w:uiPriority w:val="99"/>
    <w:semiHidden/>
    <w:unhideWhenUsed/>
    <w:qFormat/>
    <w:rsid w:val="00D3291B"/>
  </w:style>
  <w:style w:type="numbering" w:customStyle="1" w:styleId="WW8Num32111">
    <w:name w:val="WW8Num32111"/>
    <w:qFormat/>
    <w:rsid w:val="00D3291B"/>
  </w:style>
  <w:style w:type="numbering" w:customStyle="1" w:styleId="WW8Num42111">
    <w:name w:val="WW8Num42111"/>
    <w:qFormat/>
    <w:rsid w:val="00D3291B"/>
  </w:style>
  <w:style w:type="numbering" w:customStyle="1" w:styleId="WW8Num62111">
    <w:name w:val="WW8Num62111"/>
    <w:qFormat/>
    <w:rsid w:val="00D3291B"/>
  </w:style>
  <w:style w:type="numbering" w:customStyle="1" w:styleId="WW8Num72111">
    <w:name w:val="WW8Num72111"/>
    <w:qFormat/>
    <w:rsid w:val="00D3291B"/>
  </w:style>
  <w:style w:type="numbering" w:customStyle="1" w:styleId="WW8Num52111">
    <w:name w:val="WW8Num52111"/>
    <w:qFormat/>
    <w:rsid w:val="00D3291B"/>
  </w:style>
  <w:style w:type="numbering" w:customStyle="1" w:styleId="Bezseznamu21111">
    <w:name w:val="Bez seznamu21111"/>
    <w:uiPriority w:val="99"/>
    <w:semiHidden/>
    <w:unhideWhenUsed/>
    <w:qFormat/>
    <w:rsid w:val="00D3291B"/>
  </w:style>
  <w:style w:type="numbering" w:customStyle="1" w:styleId="Bezseznamu11111111">
    <w:name w:val="Bez seznamu11111111"/>
    <w:uiPriority w:val="99"/>
    <w:semiHidden/>
    <w:unhideWhenUsed/>
    <w:qFormat/>
    <w:rsid w:val="00D3291B"/>
  </w:style>
  <w:style w:type="numbering" w:customStyle="1" w:styleId="WW8Num311111">
    <w:name w:val="WW8Num311111"/>
    <w:qFormat/>
    <w:rsid w:val="00D3291B"/>
  </w:style>
  <w:style w:type="numbering" w:customStyle="1" w:styleId="WW8Num411111">
    <w:name w:val="WW8Num411111"/>
    <w:qFormat/>
    <w:rsid w:val="00D3291B"/>
  </w:style>
  <w:style w:type="numbering" w:customStyle="1" w:styleId="WW8Num611111">
    <w:name w:val="WW8Num611111"/>
    <w:qFormat/>
    <w:rsid w:val="00D3291B"/>
  </w:style>
  <w:style w:type="numbering" w:customStyle="1" w:styleId="WW8Num711111">
    <w:name w:val="WW8Num711111"/>
    <w:qFormat/>
    <w:rsid w:val="00D3291B"/>
  </w:style>
  <w:style w:type="numbering" w:customStyle="1" w:styleId="WW8Num511111">
    <w:name w:val="WW8Num511111"/>
    <w:qFormat/>
    <w:rsid w:val="00D3291B"/>
  </w:style>
  <w:style w:type="numbering" w:customStyle="1" w:styleId="Bezseznamu51">
    <w:name w:val="Bez seznamu51"/>
    <w:uiPriority w:val="99"/>
    <w:semiHidden/>
    <w:unhideWhenUsed/>
    <w:qFormat/>
    <w:rsid w:val="00D3291B"/>
  </w:style>
  <w:style w:type="numbering" w:customStyle="1" w:styleId="Bezseznamu141">
    <w:name w:val="Bez seznamu141"/>
    <w:uiPriority w:val="99"/>
    <w:semiHidden/>
    <w:unhideWhenUsed/>
    <w:qFormat/>
    <w:rsid w:val="00D3291B"/>
  </w:style>
  <w:style w:type="numbering" w:customStyle="1" w:styleId="WW8Num341">
    <w:name w:val="WW8Num341"/>
    <w:qFormat/>
    <w:rsid w:val="00D3291B"/>
  </w:style>
  <w:style w:type="numbering" w:customStyle="1" w:styleId="WW8Num441">
    <w:name w:val="WW8Num441"/>
    <w:qFormat/>
    <w:rsid w:val="00D3291B"/>
  </w:style>
  <w:style w:type="numbering" w:customStyle="1" w:styleId="WW8Num641">
    <w:name w:val="WW8Num641"/>
    <w:qFormat/>
    <w:rsid w:val="00D3291B"/>
  </w:style>
  <w:style w:type="numbering" w:customStyle="1" w:styleId="WW8Num741">
    <w:name w:val="WW8Num741"/>
    <w:qFormat/>
    <w:rsid w:val="00D3291B"/>
  </w:style>
  <w:style w:type="numbering" w:customStyle="1" w:styleId="WW8Num541">
    <w:name w:val="WW8Num541"/>
    <w:qFormat/>
    <w:rsid w:val="00D3291B"/>
  </w:style>
  <w:style w:type="numbering" w:customStyle="1" w:styleId="Bezseznamu231">
    <w:name w:val="Bez seznamu231"/>
    <w:uiPriority w:val="99"/>
    <w:semiHidden/>
    <w:unhideWhenUsed/>
    <w:qFormat/>
    <w:rsid w:val="00D3291B"/>
  </w:style>
  <w:style w:type="numbering" w:customStyle="1" w:styleId="Bezseznamu1131">
    <w:name w:val="Bez seznamu1131"/>
    <w:uiPriority w:val="99"/>
    <w:semiHidden/>
    <w:unhideWhenUsed/>
    <w:qFormat/>
    <w:rsid w:val="00D3291B"/>
  </w:style>
  <w:style w:type="numbering" w:customStyle="1" w:styleId="WW8Num3131">
    <w:name w:val="WW8Num3131"/>
    <w:qFormat/>
    <w:rsid w:val="00D3291B"/>
  </w:style>
  <w:style w:type="numbering" w:customStyle="1" w:styleId="WW8Num4131">
    <w:name w:val="WW8Num4131"/>
    <w:qFormat/>
    <w:rsid w:val="00D3291B"/>
  </w:style>
  <w:style w:type="numbering" w:customStyle="1" w:styleId="WW8Num6131">
    <w:name w:val="WW8Num6131"/>
    <w:qFormat/>
    <w:rsid w:val="00D3291B"/>
  </w:style>
  <w:style w:type="numbering" w:customStyle="1" w:styleId="WW8Num7131">
    <w:name w:val="WW8Num7131"/>
    <w:qFormat/>
    <w:rsid w:val="00D3291B"/>
  </w:style>
  <w:style w:type="numbering" w:customStyle="1" w:styleId="WW8Num5131">
    <w:name w:val="WW8Num5131"/>
    <w:qFormat/>
    <w:rsid w:val="00D3291B"/>
  </w:style>
  <w:style w:type="numbering" w:customStyle="1" w:styleId="Bezseznamu321">
    <w:name w:val="Bez seznamu321"/>
    <w:uiPriority w:val="99"/>
    <w:semiHidden/>
    <w:unhideWhenUsed/>
    <w:qFormat/>
    <w:rsid w:val="00D3291B"/>
  </w:style>
  <w:style w:type="numbering" w:customStyle="1" w:styleId="Bezseznamu1221">
    <w:name w:val="Bez seznamu1221"/>
    <w:uiPriority w:val="99"/>
    <w:semiHidden/>
    <w:unhideWhenUsed/>
    <w:qFormat/>
    <w:rsid w:val="00D3291B"/>
  </w:style>
  <w:style w:type="numbering" w:customStyle="1" w:styleId="WW8Num3221">
    <w:name w:val="WW8Num3221"/>
    <w:qFormat/>
    <w:rsid w:val="00D3291B"/>
  </w:style>
  <w:style w:type="numbering" w:customStyle="1" w:styleId="WW8Num4221">
    <w:name w:val="WW8Num4221"/>
    <w:qFormat/>
    <w:rsid w:val="00D3291B"/>
  </w:style>
  <w:style w:type="numbering" w:customStyle="1" w:styleId="WW8Num6221">
    <w:name w:val="WW8Num6221"/>
    <w:qFormat/>
    <w:rsid w:val="00D3291B"/>
  </w:style>
  <w:style w:type="numbering" w:customStyle="1" w:styleId="WW8Num7221">
    <w:name w:val="WW8Num7221"/>
    <w:qFormat/>
    <w:rsid w:val="00D3291B"/>
  </w:style>
  <w:style w:type="numbering" w:customStyle="1" w:styleId="WW8Num5221">
    <w:name w:val="WW8Num5221"/>
    <w:qFormat/>
    <w:rsid w:val="00D3291B"/>
  </w:style>
  <w:style w:type="numbering" w:customStyle="1" w:styleId="Bezseznamu2121">
    <w:name w:val="Bez seznamu2121"/>
    <w:uiPriority w:val="99"/>
    <w:semiHidden/>
    <w:unhideWhenUsed/>
    <w:qFormat/>
    <w:rsid w:val="00D3291B"/>
  </w:style>
  <w:style w:type="numbering" w:customStyle="1" w:styleId="Bezseznamu11121">
    <w:name w:val="Bez seznamu11121"/>
    <w:uiPriority w:val="99"/>
    <w:semiHidden/>
    <w:unhideWhenUsed/>
    <w:qFormat/>
    <w:rsid w:val="00D3291B"/>
  </w:style>
  <w:style w:type="numbering" w:customStyle="1" w:styleId="WW8Num31121">
    <w:name w:val="WW8Num31121"/>
    <w:qFormat/>
    <w:rsid w:val="00D3291B"/>
  </w:style>
  <w:style w:type="numbering" w:customStyle="1" w:styleId="WW8Num41121">
    <w:name w:val="WW8Num41121"/>
    <w:qFormat/>
    <w:rsid w:val="00D3291B"/>
  </w:style>
  <w:style w:type="numbering" w:customStyle="1" w:styleId="WW8Num61121">
    <w:name w:val="WW8Num61121"/>
    <w:qFormat/>
    <w:rsid w:val="00D3291B"/>
  </w:style>
  <w:style w:type="numbering" w:customStyle="1" w:styleId="WW8Num71121">
    <w:name w:val="WW8Num71121"/>
    <w:qFormat/>
    <w:rsid w:val="00D3291B"/>
  </w:style>
  <w:style w:type="numbering" w:customStyle="1" w:styleId="WW8Num51121">
    <w:name w:val="WW8Num51121"/>
    <w:qFormat/>
    <w:rsid w:val="00D3291B"/>
  </w:style>
  <w:style w:type="character" w:styleId="Nevyeenzmnka">
    <w:name w:val="Unresolved Mention"/>
    <w:uiPriority w:val="99"/>
    <w:semiHidden/>
    <w:unhideWhenUsed/>
    <w:rsid w:val="00D3291B"/>
    <w:rPr>
      <w:color w:val="605E5C"/>
      <w:shd w:val="clear" w:color="auto" w:fill="E1DFDD"/>
    </w:rPr>
  </w:style>
  <w:style w:type="paragraph" w:styleId="Prosttext">
    <w:name w:val="Plain Text"/>
    <w:basedOn w:val="Normln"/>
    <w:link w:val="ProsttextChar"/>
    <w:uiPriority w:val="99"/>
    <w:unhideWhenUsed/>
    <w:rsid w:val="00D3291B"/>
    <w:rPr>
      <w:rFonts w:ascii="Calibri" w:hAnsi="Calibri"/>
      <w:szCs w:val="21"/>
    </w:rPr>
  </w:style>
  <w:style w:type="character" w:customStyle="1" w:styleId="ProsttextChar">
    <w:name w:val="Prostý text Char"/>
    <w:basedOn w:val="Standardnpsmoodstavce"/>
    <w:link w:val="Prosttext"/>
    <w:uiPriority w:val="99"/>
    <w:rsid w:val="00D3291B"/>
    <w:rPr>
      <w:rFonts w:ascii="Calibri" w:eastAsia="Calibri" w:hAnsi="Calibri" w:cs="Times New Roman"/>
      <w:szCs w:val="21"/>
    </w:rPr>
  </w:style>
  <w:style w:type="character" w:customStyle="1" w:styleId="cf01">
    <w:name w:val="cf01"/>
    <w:rsid w:val="00D3291B"/>
    <w:rPr>
      <w:rFonts w:ascii="Segoe UI" w:hAnsi="Segoe UI" w:cs="Segoe UI" w:hint="default"/>
      <w:sz w:val="18"/>
      <w:szCs w:val="18"/>
    </w:rPr>
  </w:style>
  <w:style w:type="character" w:customStyle="1" w:styleId="ui-provider">
    <w:name w:val="ui-provider"/>
    <w:basedOn w:val="Standardnpsmoodstavce"/>
    <w:rsid w:val="00D3291B"/>
  </w:style>
  <w:style w:type="paragraph" w:customStyle="1" w:styleId="xmsonormal">
    <w:name w:val="x_msonormal"/>
    <w:basedOn w:val="Normln"/>
    <w:rsid w:val="00D3291B"/>
    <w:rPr>
      <w:rFonts w:ascii="Calibri" w:hAnsi="Calibri" w:cs="Calibri"/>
      <w:lang w:eastAsia="cs-CZ"/>
    </w:rPr>
  </w:style>
  <w:style w:type="paragraph" w:customStyle="1" w:styleId="xmsolistparagraph">
    <w:name w:val="x_msolistparagraph"/>
    <w:basedOn w:val="Normln"/>
    <w:rsid w:val="00D3291B"/>
    <w:pPr>
      <w:ind w:left="720"/>
    </w:pPr>
    <w:rPr>
      <w:rFonts w:ascii="Calibr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ata.europa.eu/doi/10.2873/4104"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3432</Words>
  <Characters>20252</Characters>
  <Application>Microsoft Office Word</Application>
  <DocSecurity>0</DocSecurity>
  <Lines>168</Lines>
  <Paragraphs>47</Paragraphs>
  <ScaleCrop>false</ScaleCrop>
  <Company/>
  <LinksUpToDate>false</LinksUpToDate>
  <CharactersWithSpaces>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2023-12-14T12:56:00Z</dcterms:created>
  <dcterms:modified xsi:type="dcterms:W3CDTF">2023-12-14T12:56:00Z</dcterms:modified>
</cp:coreProperties>
</file>