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28C" w:rsidRPr="00E62603" w:rsidRDefault="002C128C" w:rsidP="002C128C">
      <w:pPr>
        <w:pStyle w:val="Nadpis2"/>
      </w:pPr>
      <w:bookmarkStart w:id="0" w:name="_Toc16749383"/>
      <w:bookmarkStart w:id="1" w:name="_Toc26427967"/>
      <w:r w:rsidRPr="00E62603">
        <w:t>13. Podpora zpracování zemědělských produktů a zvyšování konkurenceschopnosti potravinářského průmyslu</w:t>
      </w:r>
      <w:bookmarkEnd w:id="0"/>
      <w:bookmarkEnd w:id="1"/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1   </w:t>
      </w: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Účel dotace</w:t>
      </w:r>
    </w:p>
    <w:p w:rsidR="002C128C" w:rsidRPr="00E62603" w:rsidRDefault="002C128C" w:rsidP="002C128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Zvýšení kvality zpracování zemědělských produktů uvedených v Příloze I Smlouvy </w:t>
      </w:r>
      <w:r w:rsidRPr="00E62603">
        <w:rPr>
          <w:rFonts w:eastAsia="Times New Roman" w:cs="Arial"/>
          <w:spacing w:val="-7"/>
          <w:sz w:val="24"/>
          <w:szCs w:val="24"/>
          <w:lang w:eastAsia="cs-CZ"/>
        </w:rPr>
        <w:t>o fungování EU, zvyšování konkurenceschopnosti potravinářských podniků a krmivářských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2603">
        <w:rPr>
          <w:rFonts w:eastAsia="Times New Roman" w:cs="Arial"/>
          <w:spacing w:val="-2"/>
          <w:sz w:val="24"/>
          <w:szCs w:val="24"/>
          <w:lang w:eastAsia="cs-CZ"/>
        </w:rPr>
        <w:t xml:space="preserve">podniků na evropském trhu, hlavně s ohledem na jakost, nezávadnost a sledovatelnost </w:t>
      </w:r>
      <w:r w:rsidRPr="00E62603">
        <w:rPr>
          <w:rFonts w:eastAsia="Times New Roman" w:cs="Arial"/>
          <w:sz w:val="24"/>
          <w:szCs w:val="24"/>
          <w:lang w:eastAsia="cs-CZ"/>
        </w:rPr>
        <w:t>výrobků. Zabezpečení funkčnosti a účinnosti jakostních systémů.</w:t>
      </w:r>
    </w:p>
    <w:p w:rsidR="002C128C" w:rsidRPr="00E62603" w:rsidRDefault="002C128C" w:rsidP="002C128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Podpora je poskytována v souladu s AGRI pokyny.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2   </w:t>
      </w: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Předmět dotace</w:t>
      </w:r>
    </w:p>
    <w:p w:rsidR="002C128C" w:rsidRPr="00E62603" w:rsidRDefault="002C128C" w:rsidP="002C128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Dotaci lze poskytnout </w:t>
      </w: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na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>: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modernizaci výrobních zařízení,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zavádění nových technologií,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investice do technologií související s diverzifikací produkce provozovny o další nové výrobky,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2"/>
          <w:sz w:val="24"/>
          <w:szCs w:val="24"/>
          <w:lang w:eastAsia="cs-CZ"/>
        </w:rPr>
        <w:t xml:space="preserve">investice do technologií související se zásadní změnou výrobního postupu stávající </w:t>
      </w:r>
      <w:r w:rsidRPr="00E62603">
        <w:rPr>
          <w:rFonts w:eastAsia="Times New Roman" w:cs="Arial"/>
          <w:sz w:val="24"/>
          <w:szCs w:val="24"/>
          <w:lang w:eastAsia="cs-CZ"/>
        </w:rPr>
        <w:t>provozovny,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zlepšení a racionalizaci postupů zpracování zemědělských produktů,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5"/>
          <w:sz w:val="24"/>
          <w:szCs w:val="24"/>
          <w:lang w:eastAsia="cs-CZ"/>
        </w:rPr>
        <w:t>investice do technologií ke zlepšování a monitorování kvality potravinářských výrobků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a krmiv,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zavádění technologií šetrných k životnímu prostředí,</w:t>
      </w:r>
    </w:p>
    <w:p w:rsidR="002C128C" w:rsidRPr="00E62603" w:rsidRDefault="002C128C" w:rsidP="002C128C">
      <w:pPr>
        <w:numPr>
          <w:ilvl w:val="0"/>
          <w:numId w:val="1"/>
        </w:numPr>
        <w:tabs>
          <w:tab w:val="clear" w:pos="502"/>
          <w:tab w:val="num" w:pos="-426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7"/>
          <w:sz w:val="24"/>
          <w:szCs w:val="24"/>
          <w:lang w:eastAsia="cs-CZ"/>
        </w:rPr>
      </w:pPr>
      <w:r w:rsidRPr="00E62603">
        <w:rPr>
          <w:rFonts w:eastAsia="Times New Roman" w:cs="Arial"/>
          <w:spacing w:val="-7"/>
          <w:sz w:val="24"/>
          <w:szCs w:val="24"/>
          <w:lang w:eastAsia="cs-CZ"/>
        </w:rPr>
        <w:t>zavádění technologií souvisejících se sledovatelností potravinářských výrobků a krmiv.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3   Žadatel</w:t>
      </w:r>
    </w:p>
    <w:p w:rsidR="002C128C" w:rsidRPr="00A8434F" w:rsidRDefault="002C128C" w:rsidP="002C128C">
      <w:pPr>
        <w:numPr>
          <w:ilvl w:val="0"/>
          <w:numId w:val="7"/>
        </w:numPr>
        <w:ind w:left="397" w:hanging="397"/>
        <w:jc w:val="both"/>
        <w:rPr>
          <w:sz w:val="24"/>
          <w:szCs w:val="24"/>
        </w:rPr>
      </w:pPr>
      <w:r w:rsidRPr="00A8434F">
        <w:rPr>
          <w:sz w:val="24"/>
          <w:szCs w:val="24"/>
        </w:rPr>
        <w:t xml:space="preserve">Podnik, který zaměstnává více než 250 osob nebo jeho roční obrat převyšuje 50 mil. EUR a zároveň méně než 750 osob, nebo jehož roční obrat je nižší než 200 mil. EUR, </w:t>
      </w:r>
      <w:r w:rsidRPr="00A8434F">
        <w:rPr>
          <w:rFonts w:cs="Arial"/>
          <w:sz w:val="24"/>
          <w:szCs w:val="24"/>
        </w:rPr>
        <w:t>přičemž se do počtu zaměstnanců ani do výše obratu nezapočítávají propojené a partnerské podniky</w:t>
      </w:r>
    </w:p>
    <w:p w:rsidR="002C128C" w:rsidRPr="00A8434F" w:rsidRDefault="002C128C" w:rsidP="002C128C">
      <w:pPr>
        <w:ind w:left="397" w:hanging="397"/>
        <w:jc w:val="both"/>
        <w:rPr>
          <w:sz w:val="24"/>
          <w:szCs w:val="24"/>
        </w:rPr>
      </w:pPr>
      <w:r w:rsidRPr="00A8434F">
        <w:rPr>
          <w:sz w:val="24"/>
          <w:szCs w:val="24"/>
        </w:rPr>
        <w:t>nebo</w:t>
      </w:r>
    </w:p>
    <w:p w:rsidR="002C128C" w:rsidRPr="00A8434F" w:rsidRDefault="002C128C" w:rsidP="002C128C">
      <w:pPr>
        <w:numPr>
          <w:ilvl w:val="0"/>
          <w:numId w:val="7"/>
        </w:numPr>
        <w:ind w:left="397" w:hanging="397"/>
        <w:jc w:val="both"/>
        <w:rPr>
          <w:sz w:val="24"/>
          <w:szCs w:val="24"/>
        </w:rPr>
      </w:pPr>
      <w:r w:rsidRPr="00A8434F">
        <w:rPr>
          <w:color w:val="000000"/>
          <w:sz w:val="24"/>
          <w:szCs w:val="24"/>
        </w:rPr>
        <w:t>Velký</w:t>
      </w:r>
      <w:r w:rsidRPr="00A8434F">
        <w:rPr>
          <w:color w:val="FF0000"/>
          <w:sz w:val="24"/>
          <w:szCs w:val="24"/>
        </w:rPr>
        <w:t xml:space="preserve"> </w:t>
      </w:r>
      <w:r w:rsidRPr="00A8434F">
        <w:rPr>
          <w:sz w:val="24"/>
          <w:szCs w:val="24"/>
        </w:rPr>
        <w:t xml:space="preserve">podnik, který splňuje všechny podmínky, uvedené v příloze č. I nařízení Komise (EU) č. 702/2014 </w:t>
      </w:r>
    </w:p>
    <w:p w:rsidR="002C128C" w:rsidRPr="00A8434F" w:rsidRDefault="002C128C" w:rsidP="002C128C">
      <w:pPr>
        <w:jc w:val="both"/>
        <w:rPr>
          <w:sz w:val="24"/>
          <w:szCs w:val="24"/>
        </w:rPr>
      </w:pPr>
      <w:r w:rsidRPr="00A8434F">
        <w:rPr>
          <w:sz w:val="24"/>
          <w:szCs w:val="24"/>
        </w:rPr>
        <w:t>a zároveň je:</w:t>
      </w:r>
    </w:p>
    <w:p w:rsidR="002C128C" w:rsidRPr="00A8434F" w:rsidRDefault="002C128C" w:rsidP="002C128C">
      <w:pPr>
        <w:numPr>
          <w:ilvl w:val="0"/>
          <w:numId w:val="6"/>
        </w:numPr>
        <w:ind w:left="397" w:hanging="397"/>
        <w:jc w:val="both"/>
        <w:rPr>
          <w:sz w:val="24"/>
          <w:szCs w:val="24"/>
        </w:rPr>
      </w:pPr>
      <w:r w:rsidRPr="00A8434F">
        <w:rPr>
          <w:sz w:val="24"/>
          <w:szCs w:val="24"/>
        </w:rPr>
        <w:t>výrobce potravin podle zákona č. 110/1997 Sb., o potravinách a tabákových výrobcích a o změně a doplnění některých souvisejících zákonů, ve znění pozdějších předpisů, jehož podíl tržeb z vlastní výroby potravin je vyšší než 50 % nebo,</w:t>
      </w:r>
    </w:p>
    <w:p w:rsidR="002C128C" w:rsidRPr="00A8434F" w:rsidRDefault="002C128C" w:rsidP="002C128C">
      <w:pPr>
        <w:numPr>
          <w:ilvl w:val="0"/>
          <w:numId w:val="6"/>
        </w:numPr>
        <w:ind w:left="397" w:hanging="397"/>
        <w:jc w:val="both"/>
        <w:rPr>
          <w:sz w:val="24"/>
          <w:szCs w:val="24"/>
        </w:rPr>
      </w:pPr>
      <w:r w:rsidRPr="00A8434F">
        <w:rPr>
          <w:sz w:val="24"/>
          <w:szCs w:val="24"/>
        </w:rPr>
        <w:t xml:space="preserve">registrovaný výrobce hotových krmiv pro zvířata poskytující potraviny podle zákona č. 91/1996 Sb., o krmivech, ve znění pozdějších předpisů, jehož podíl tržby za prodej krmiv </w:t>
      </w:r>
      <w:proofErr w:type="gramStart"/>
      <w:r w:rsidRPr="00A8434F">
        <w:rPr>
          <w:sz w:val="24"/>
          <w:szCs w:val="24"/>
        </w:rPr>
        <w:t>ku</w:t>
      </w:r>
      <w:proofErr w:type="gramEnd"/>
      <w:r w:rsidRPr="00A8434F">
        <w:rPr>
          <w:sz w:val="24"/>
          <w:szCs w:val="24"/>
        </w:rPr>
        <w:t xml:space="preserve"> tržbám za prodej vlastních výrobků a služeb je vyšší než 50% nebo,</w:t>
      </w:r>
    </w:p>
    <w:p w:rsidR="002C128C" w:rsidRPr="00A8434F" w:rsidRDefault="002C128C" w:rsidP="002C128C">
      <w:pPr>
        <w:numPr>
          <w:ilvl w:val="0"/>
          <w:numId w:val="6"/>
        </w:numPr>
        <w:spacing w:after="120"/>
        <w:ind w:left="397" w:hanging="397"/>
        <w:jc w:val="both"/>
        <w:rPr>
          <w:sz w:val="24"/>
          <w:szCs w:val="24"/>
        </w:rPr>
      </w:pPr>
      <w:r w:rsidRPr="00A8434F">
        <w:rPr>
          <w:sz w:val="24"/>
          <w:szCs w:val="24"/>
        </w:rPr>
        <w:t xml:space="preserve">výrobce potravin podle zákona č. 110/1997 Sb., o potravinách a tabákových výrobcích a o změně a doplnění některých souvisejících zákonů, ve znění pozdějších předpisů a registrovaný výrobce hotových krmiv pro zvířata poskytující potraviny podle zákona č. 91/1996 Sb., o krmivech, ve znění pozdějších předpisů, jehož podíl tržeb z vlastní výroby potravin a krmiv je vyšší než 50 %. </w:t>
      </w:r>
    </w:p>
    <w:p w:rsidR="002C128C" w:rsidRPr="00A8434F" w:rsidRDefault="002C128C" w:rsidP="002C128C">
      <w:pPr>
        <w:jc w:val="both"/>
        <w:rPr>
          <w:sz w:val="24"/>
          <w:szCs w:val="24"/>
        </w:rPr>
      </w:pPr>
      <w:r w:rsidRPr="00A8434F">
        <w:rPr>
          <w:sz w:val="24"/>
          <w:szCs w:val="24"/>
        </w:rPr>
        <w:lastRenderedPageBreak/>
        <w:t>Malé a střední podniky jsou z dotačního programu vyloučeny.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2C128C" w:rsidRPr="00E62603" w:rsidRDefault="002C128C" w:rsidP="002C128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Forma dotace:</w:t>
      </w:r>
      <w:r w:rsidRPr="00E62603">
        <w:rPr>
          <w:rFonts w:eastAsia="Times New Roman" w:cs="Arial"/>
          <w:bCs/>
          <w:sz w:val="24"/>
          <w:szCs w:val="24"/>
          <w:lang w:eastAsia="cs-CZ"/>
        </w:rPr>
        <w:t xml:space="preserve"> dotace na pořízení dlouhodobého hmotného a nehmotného majetku.</w:t>
      </w:r>
    </w:p>
    <w:p w:rsidR="002C128C" w:rsidRPr="00E62603" w:rsidRDefault="002C128C" w:rsidP="002C128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z w:val="24"/>
          <w:szCs w:val="24"/>
          <w:lang w:eastAsia="cs-CZ"/>
        </w:rPr>
        <w:t>Výše dotace: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do 50 % skutečně vynaložených uznatelných nákladů dle předloženého projektu. Minimální hodnota uznatelných nákladů za projekt jednoho žadatele musí být 1 milion Kč a maximální hodnota uznatelných nákladů za projekt nesmí být vyšší než 60 mil. Kč. 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Jeden žadatel může podat v kalendářním roce pouze jeden projekt.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Uznatelnými náklady jsou náklady uskutečněné v období ode dne následujícího po dni podání žádosti o dotaci do </w:t>
      </w:r>
      <w:r>
        <w:rPr>
          <w:rFonts w:eastAsia="Times New Roman" w:cs="Arial"/>
          <w:sz w:val="24"/>
          <w:szCs w:val="24"/>
          <w:lang w:eastAsia="cs-CZ"/>
        </w:rPr>
        <w:t>31. 10.</w:t>
      </w:r>
      <w:r w:rsidRPr="00E62603">
        <w:rPr>
          <w:rFonts w:eastAsia="Times New Roman" w:cs="Arial"/>
          <w:sz w:val="24"/>
          <w:szCs w:val="24"/>
          <w:lang w:eastAsia="cs-CZ"/>
        </w:rPr>
        <w:t> 2020.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Minimální částka bez DPH uvedená na daňovém dokladu musí být 10 000 Kč kromě případu vyúčtování záloh.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4"/>
          <w:sz w:val="24"/>
          <w:szCs w:val="20"/>
          <w:lang w:eastAsia="cs-CZ"/>
        </w:rPr>
        <w:t>Projekt musí být realizován na území České republiky, mimo území hl. města Prahy.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0"/>
          <w:lang w:eastAsia="cs-CZ"/>
        </w:rPr>
        <w:t>Projekt musí být v souladu s platnou právní úpravou.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0"/>
          <w:lang w:eastAsia="cs-CZ"/>
        </w:rPr>
        <w:t xml:space="preserve">Žadatel předloží na formuláři </w:t>
      </w:r>
      <w:r>
        <w:rPr>
          <w:rFonts w:eastAsia="Times New Roman" w:cs="Arial"/>
          <w:sz w:val="24"/>
          <w:szCs w:val="20"/>
          <w:lang w:eastAsia="cs-CZ"/>
        </w:rPr>
        <w:t>Fondu</w:t>
      </w:r>
      <w:r w:rsidRPr="00E62603">
        <w:rPr>
          <w:rFonts w:eastAsia="Times New Roman" w:cs="Arial"/>
          <w:sz w:val="24"/>
          <w:szCs w:val="20"/>
          <w:lang w:eastAsia="cs-CZ"/>
        </w:rPr>
        <w:t xml:space="preserve"> projekt, jenž obsahuje výchozí stav technického a výrobního vybavení podniku, investice spojené s modernizací podniku v předcházejících letech, popis plánované investice včetně seznamu jednotlivých zařízení a odůvodnění přínosu navržených investic vzhledem k účelu dotačního programu (zejména vliv na zvýšení kvality výroby, snížení energetické náročnosti výroby, snížení produkce odpadu, úspora obalového materiálu apod.), zjednodušenou marketingovou studii, popis míry návratnosti plánovaného projektu a její srovnání s průměrnou míru návratnosti podobných realizovaných investičních projektů za poslední tři roky a popis situace, která by nastala </w:t>
      </w:r>
      <w:r>
        <w:rPr>
          <w:rFonts w:eastAsia="Times New Roman" w:cs="Arial"/>
          <w:sz w:val="24"/>
          <w:szCs w:val="20"/>
          <w:lang w:eastAsia="cs-CZ"/>
        </w:rPr>
        <w:t>v </w:t>
      </w:r>
      <w:r w:rsidRPr="00E62603">
        <w:rPr>
          <w:rFonts w:eastAsia="Times New Roman" w:cs="Arial"/>
          <w:sz w:val="24"/>
          <w:szCs w:val="20"/>
          <w:lang w:eastAsia="cs-CZ"/>
        </w:rPr>
        <w:t>případě, že by podpora nebyla poskytnuta, včetně písemných dokladů, z nichž vychází (hypotetický scénář)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z w:val="24"/>
          <w:szCs w:val="24"/>
          <w:lang w:eastAsia="cs-CZ"/>
        </w:rPr>
        <w:t>Nemovitosti a pozemky, vztahující se k projektu, musí být ve vlastnictví žadatele/příjemce dotace, nebo musí žadatel/příjemce dotace prokázat oprávnění k užívání pozemku od data podání žádosti o dotaci do 31. 12. 2025.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cs="Arial"/>
          <w:sz w:val="24"/>
        </w:rPr>
        <w:t xml:space="preserve">Žadatel/příjemce dotace musí prokázat oprávnění k užívání nemovitosti/pozemku od data podání žádosti o dotaci do 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31. 12. 2025 </w:t>
      </w:r>
      <w:r w:rsidRPr="00E62603">
        <w:rPr>
          <w:rFonts w:cs="Arial"/>
          <w:sz w:val="24"/>
        </w:rPr>
        <w:t>v případě, že projekt bude realizován v pronajaté/na propachtovaném nemovitosti/pozemku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. </w:t>
      </w:r>
      <w:r w:rsidRPr="00E62603">
        <w:rPr>
          <w:rFonts w:cs="Arial"/>
          <w:sz w:val="24"/>
        </w:rPr>
        <w:t>Žadatel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doloží </w:t>
      </w:r>
      <w:r w:rsidRPr="00E62603">
        <w:rPr>
          <w:rFonts w:cs="Arial"/>
          <w:sz w:val="24"/>
        </w:rPr>
        <w:t xml:space="preserve">nájemní/pachtovní smlouvu nebo jiný doklad prokazující oprávnění k užívání nemovitosti/pozemku </w:t>
      </w:r>
      <w:r w:rsidRPr="00E62603">
        <w:rPr>
          <w:rFonts w:cs="Arial"/>
          <w:sz w:val="24"/>
          <w:szCs w:val="24"/>
        </w:rPr>
        <w:t>na dobu určitou minimálně do 31. 12. 2025 nebo na dobu neurčitou s výpovědní lhůtou 5 let.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cs="Arial"/>
          <w:sz w:val="24"/>
          <w:szCs w:val="24"/>
        </w:rPr>
        <w:t>Zajištění písemného souhlasu spoluvlastníků nemovitostí/pozemků, vztahujících se k projektu, s realizací projektu platného minimálně do 31. 12. 2025, ne starší 3 měsíců k datu podání žádosti.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Zpracování produktů, které je předmětem žádosti o dotaci, se nesmí týkat výrobků</w:t>
      </w:r>
      <w:r w:rsidRPr="00E62603">
        <w:rPr>
          <w:rFonts w:eastAsia="Arial Unicode MS" w:cs="Arial"/>
          <w:sz w:val="24"/>
          <w:szCs w:val="24"/>
          <w:lang w:eastAsia="cs-CZ"/>
        </w:rPr>
        <w:t xml:space="preserve"> ze třetích zemí.</w:t>
      </w:r>
    </w:p>
    <w:p w:rsidR="002C128C" w:rsidRPr="000777C2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0777C2">
        <w:rPr>
          <w:rFonts w:eastAsia="Arial Unicode MS" w:cs="Arial"/>
          <w:spacing w:val="-6"/>
          <w:sz w:val="24"/>
          <w:szCs w:val="24"/>
          <w:lang w:eastAsia="cs-CZ"/>
        </w:rPr>
        <w:t>Investice musí zahrnovat pouze zpracování zemědělských produktů dle definice uvedené v části I. kapitoly 2.4 bodu 3</w:t>
      </w:r>
      <w:r>
        <w:rPr>
          <w:rFonts w:eastAsia="Arial Unicode MS" w:cs="Arial"/>
          <w:spacing w:val="-6"/>
          <w:sz w:val="24"/>
          <w:szCs w:val="24"/>
          <w:lang w:eastAsia="cs-CZ"/>
        </w:rPr>
        <w:t xml:space="preserve">5, odst. 3 a 11 </w:t>
      </w:r>
      <w:r w:rsidRPr="000777C2">
        <w:rPr>
          <w:rFonts w:eastAsia="Arial Unicode MS" w:cs="Arial"/>
          <w:spacing w:val="-6"/>
          <w:sz w:val="24"/>
          <w:szCs w:val="24"/>
          <w:lang w:eastAsia="cs-CZ"/>
        </w:rPr>
        <w:t>AGRI pokynů.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0"/>
          <w:lang w:eastAsia="cs-CZ"/>
        </w:rPr>
        <w:lastRenderedPageBreak/>
        <w:t xml:space="preserve">Investice se musí týkat zpracovávání a odbytu produktů zahrnutých v Příloze I </w:t>
      </w:r>
      <w:r w:rsidRPr="00E62603">
        <w:rPr>
          <w:rFonts w:eastAsia="Times New Roman" w:cs="Arial"/>
          <w:spacing w:val="-3"/>
          <w:sz w:val="24"/>
          <w:szCs w:val="20"/>
          <w:lang w:eastAsia="cs-CZ"/>
        </w:rPr>
        <w:t>Smlouvy o fungování EU, s výjimkou kapitol 3 a 16 - ryby a rybí produkty, které jsou</w:t>
      </w:r>
      <w:r w:rsidRPr="00E62603">
        <w:rPr>
          <w:rFonts w:eastAsia="Times New Roman" w:cs="Arial"/>
          <w:sz w:val="24"/>
          <w:szCs w:val="20"/>
          <w:lang w:eastAsia="cs-CZ"/>
        </w:rPr>
        <w:t xml:space="preserve"> pokryté nařízením Rady (ES) č. 104/2000, a kapitol 17, 24, 45, 54, 57.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Dotaci lze poskytnout pouze na nové technologické zařízení.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4"/>
          <w:sz w:val="24"/>
          <w:szCs w:val="24"/>
          <w:lang w:eastAsia="cs-CZ"/>
        </w:rPr>
        <w:t>Dotaci nelze poskytnout na předmět dotace, týkající se výroby produktů, které imitují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nebo nahrazují mléko a mléčné výrobky.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2"/>
          <w:sz w:val="24"/>
          <w:szCs w:val="24"/>
          <w:lang w:eastAsia="cs-CZ"/>
        </w:rPr>
        <w:t>V případě žádosti týkající se výroby krmiv lze poskytnou dotaci pouze na předmět dotace, týkající se výroby krmiv</w:t>
      </w:r>
      <w:r w:rsidRPr="00E62603">
        <w:rPr>
          <w:rFonts w:eastAsia="Times New Roman" w:cs="Arial"/>
          <w:spacing w:val="-2"/>
          <w:sz w:val="24"/>
          <w:szCs w:val="20"/>
          <w:lang w:eastAsia="cs-CZ"/>
        </w:rPr>
        <w:t xml:space="preserve"> pro zvířata</w:t>
      </w:r>
      <w:r w:rsidRPr="00E62603">
        <w:rPr>
          <w:rFonts w:eastAsia="Times New Roman" w:cs="Arial"/>
          <w:sz w:val="24"/>
          <w:szCs w:val="20"/>
          <w:lang w:eastAsia="cs-CZ"/>
        </w:rPr>
        <w:t xml:space="preserve"> poskytující potraviny</w:t>
      </w:r>
      <w:r w:rsidRPr="00E62603">
        <w:rPr>
          <w:rFonts w:eastAsia="Times New Roman" w:cs="Arial"/>
          <w:sz w:val="24"/>
          <w:szCs w:val="24"/>
          <w:lang w:eastAsia="cs-CZ"/>
        </w:rPr>
        <w:t>.</w:t>
      </w:r>
    </w:p>
    <w:p w:rsidR="002C128C" w:rsidRPr="00E62603" w:rsidRDefault="002C128C" w:rsidP="002C128C">
      <w:pPr>
        <w:numPr>
          <w:ilvl w:val="0"/>
          <w:numId w:val="3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Žadatel musí prokázat ekonomickou životaschopnost a finanční zdraví dle metodiky výpočtu finančního zdraví Programu rozvoje venkova.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pacing w:val="-6"/>
          <w:sz w:val="24"/>
          <w:szCs w:val="24"/>
          <w:lang w:eastAsia="cs-CZ"/>
        </w:rPr>
        <w:t>Žadatel</w:t>
      </w:r>
      <w:r w:rsidRPr="00E62603">
        <w:rPr>
          <w:rFonts w:cs="Arial"/>
          <w:spacing w:val="-6"/>
          <w:sz w:val="24"/>
        </w:rPr>
        <w:t>/příjemce dotace</w:t>
      </w:r>
      <w:r w:rsidRPr="00E62603">
        <w:rPr>
          <w:rFonts w:eastAsia="Times New Roman" w:cs="Arial"/>
          <w:spacing w:val="-6"/>
          <w:sz w:val="24"/>
          <w:szCs w:val="24"/>
          <w:lang w:eastAsia="cs-CZ"/>
        </w:rPr>
        <w:t xml:space="preserve"> musí s předmětem dotace hospodařit od data příjmu dokladů</w:t>
      </w:r>
      <w:r w:rsidRPr="00E62603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62603">
        <w:rPr>
          <w:rFonts w:eastAsia="Times New Roman" w:cs="Arial"/>
          <w:spacing w:val="-6"/>
          <w:sz w:val="24"/>
          <w:szCs w:val="24"/>
          <w:lang w:eastAsia="cs-CZ"/>
        </w:rPr>
        <w:t>prokazujících nárok na dotaci do 31. 12. 2025. Za nesplnění podmínky se nepovažuje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zásah vyšší moci nebo mimořádných okolností.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6   Termín příjmu žádosti o dotaci</w:t>
      </w:r>
    </w:p>
    <w:p w:rsidR="002C128C" w:rsidRPr="00E62603" w:rsidRDefault="002C128C" w:rsidP="002C128C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2603">
        <w:rPr>
          <w:rFonts w:eastAsia="Arial Unicode MS" w:cs="Arial"/>
          <w:spacing w:val="-2"/>
          <w:sz w:val="24"/>
          <w:szCs w:val="24"/>
          <w:lang w:eastAsia="cs-CZ"/>
        </w:rPr>
        <w:t xml:space="preserve">Příjem žádostí o dotaci začíná </w:t>
      </w:r>
      <w:r>
        <w:rPr>
          <w:rFonts w:eastAsia="Arial Unicode MS" w:cs="Arial"/>
          <w:spacing w:val="-2"/>
          <w:sz w:val="24"/>
          <w:szCs w:val="24"/>
          <w:lang w:eastAsia="cs-CZ"/>
        </w:rPr>
        <w:t>6</w:t>
      </w: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. 1. 2020 a končí 31. 3. 2020 včetně.</w:t>
      </w:r>
    </w:p>
    <w:p w:rsidR="002C128C" w:rsidRPr="00E62603" w:rsidRDefault="002C128C" w:rsidP="002C128C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Žádost o dotaci musí být podána před zahájením realizace předmětu dotace. Za zahájení realizace předmětu dotace se nepovažují přípravné práce, jako je získání povolení a zpracování studií proveditelnosti, zpracování projektových dokumentací</w:t>
      </w:r>
      <w:r>
        <w:rPr>
          <w:rFonts w:eastAsia="Arial Unicode MS" w:cs="Arial"/>
          <w:spacing w:val="-2"/>
          <w:sz w:val="24"/>
          <w:szCs w:val="24"/>
          <w:lang w:eastAsia="cs-CZ"/>
        </w:rPr>
        <w:t xml:space="preserve"> </w:t>
      </w: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a</w:t>
      </w:r>
      <w:r>
        <w:rPr>
          <w:rFonts w:eastAsia="Arial Unicode MS" w:cs="Arial"/>
          <w:spacing w:val="-2"/>
          <w:sz w:val="24"/>
          <w:szCs w:val="24"/>
          <w:lang w:eastAsia="cs-CZ"/>
        </w:rPr>
        <w:t> </w:t>
      </w:r>
      <w:r w:rsidRPr="00E62603">
        <w:rPr>
          <w:rFonts w:eastAsia="Arial Unicode MS" w:cs="Arial"/>
          <w:spacing w:val="-2"/>
          <w:sz w:val="24"/>
          <w:szCs w:val="24"/>
          <w:lang w:eastAsia="cs-CZ"/>
        </w:rPr>
        <w:t xml:space="preserve">případný výběr dodavatele.“ 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7   Přílohy žádosti o dotaci</w:t>
      </w:r>
    </w:p>
    <w:p w:rsidR="002C128C" w:rsidRPr="00E62603" w:rsidRDefault="002C128C" w:rsidP="002C128C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z w:val="24"/>
          <w:szCs w:val="24"/>
          <w:lang w:eastAsia="cs-CZ"/>
        </w:rPr>
        <w:t>Rozpis předpokládaných uznatelných nákladů.</w:t>
      </w:r>
    </w:p>
    <w:p w:rsidR="002C128C" w:rsidRPr="00E62603" w:rsidRDefault="002C128C" w:rsidP="002C128C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pacing w:val="-5"/>
          <w:sz w:val="24"/>
          <w:szCs w:val="24"/>
          <w:lang w:eastAsia="cs-CZ"/>
        </w:rPr>
        <w:t xml:space="preserve">Nájemní/pachtovní smlouva </w:t>
      </w:r>
      <w:r w:rsidRPr="00E62603">
        <w:rPr>
          <w:rFonts w:cs="Arial"/>
          <w:spacing w:val="-5"/>
          <w:sz w:val="24"/>
        </w:rPr>
        <w:t>prokazující oprávnění k užívání nemovitosti/pozemku od data podání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4"/>
          <w:sz w:val="24"/>
        </w:rPr>
        <w:t xml:space="preserve">žádosti o dotaci do </w:t>
      </w:r>
      <w:r w:rsidRPr="00E62603">
        <w:rPr>
          <w:rFonts w:eastAsia="Times New Roman" w:cs="Arial"/>
          <w:spacing w:val="-4"/>
          <w:sz w:val="24"/>
          <w:szCs w:val="24"/>
          <w:lang w:eastAsia="cs-CZ"/>
        </w:rPr>
        <w:t xml:space="preserve">31. 12. 2025 </w:t>
      </w:r>
      <w:r w:rsidRPr="00E62603">
        <w:rPr>
          <w:rFonts w:cs="Arial"/>
          <w:spacing w:val="-7"/>
          <w:sz w:val="24"/>
        </w:rPr>
        <w:t>v případě, že projekt bude realizován v pronajatém/na propachtovaném nemovitosti/pozemku</w:t>
      </w:r>
      <w:r w:rsidRPr="00E62603">
        <w:rPr>
          <w:rFonts w:eastAsia="Arial Unicode MS" w:cs="Arial"/>
          <w:spacing w:val="-4"/>
          <w:sz w:val="24"/>
          <w:szCs w:val="24"/>
          <w:lang w:eastAsia="cs-CZ"/>
        </w:rPr>
        <w:t>.</w:t>
      </w:r>
    </w:p>
    <w:p w:rsidR="002C128C" w:rsidRPr="00E62603" w:rsidRDefault="002C128C" w:rsidP="002C128C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z w:val="24"/>
          <w:szCs w:val="24"/>
          <w:lang w:eastAsia="cs-CZ"/>
        </w:rPr>
        <w:t>Písemný souhlas spoluvlastníků nemovitostí/pozemků, vztahujících se k projektu, s realizací projektu,</w:t>
      </w:r>
      <w:r w:rsidRPr="00E62603">
        <w:rPr>
          <w:rFonts w:eastAsia="Arial Unicode MS" w:cs="Arial"/>
          <w:bCs/>
          <w:sz w:val="24"/>
          <w:szCs w:val="24"/>
          <w:lang w:eastAsia="cs-CZ"/>
        </w:rPr>
        <w:t xml:space="preserve"> </w:t>
      </w:r>
      <w:r w:rsidRPr="00E62603">
        <w:rPr>
          <w:rFonts w:eastAsia="Arial Unicode MS" w:cs="Arial"/>
          <w:bCs/>
          <w:spacing w:val="-3"/>
          <w:sz w:val="24"/>
          <w:szCs w:val="24"/>
          <w:lang w:eastAsia="cs-CZ"/>
        </w:rPr>
        <w:t>bude-li projekt realizován v pronajatém/na propachtovaném objektu/pozemku,</w:t>
      </w:r>
      <w:r w:rsidRPr="00E62603">
        <w:rPr>
          <w:rFonts w:eastAsia="Arial Unicode MS" w:cs="Arial"/>
          <w:spacing w:val="-3"/>
          <w:sz w:val="24"/>
          <w:szCs w:val="24"/>
          <w:lang w:eastAsia="cs-CZ"/>
        </w:rPr>
        <w:t xml:space="preserve"> ne starší</w:t>
      </w:r>
      <w:r w:rsidRPr="00E62603">
        <w:rPr>
          <w:rFonts w:eastAsia="Arial Unicode MS" w:cs="Arial"/>
          <w:sz w:val="24"/>
          <w:szCs w:val="24"/>
          <w:lang w:eastAsia="cs-CZ"/>
        </w:rPr>
        <w:t xml:space="preserve"> 3 měsíců k datu podání žádosti.</w:t>
      </w:r>
    </w:p>
    <w:p w:rsidR="002C128C" w:rsidRPr="00E62603" w:rsidRDefault="002C128C" w:rsidP="002C128C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z w:val="24"/>
          <w:szCs w:val="24"/>
          <w:lang w:eastAsia="cs-CZ"/>
        </w:rPr>
        <w:t>Písemné doklady, informace a postupy používané při hodnocení a schvalování investic příslušným orgánem žadatele nebo vnitřní dokumenty, kterými se řídí.</w:t>
      </w:r>
    </w:p>
    <w:p w:rsidR="002C128C" w:rsidRPr="00E62603" w:rsidRDefault="002C128C" w:rsidP="002C128C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2603">
        <w:rPr>
          <w:rFonts w:eastAsia="Arial Unicode MS" w:cs="Arial"/>
          <w:spacing w:val="-2"/>
          <w:sz w:val="24"/>
          <w:szCs w:val="24"/>
          <w:lang w:eastAsia="cs-CZ"/>
        </w:rPr>
        <w:t>Potvrzení příslušného dozorového orgánu (SVS, SZPI, ÚKZÚZ), že žadatel splňuje</w:t>
      </w:r>
      <w:r w:rsidRPr="00E62603">
        <w:rPr>
          <w:rFonts w:eastAsia="Arial Unicode MS" w:cs="Arial"/>
          <w:sz w:val="24"/>
          <w:szCs w:val="24"/>
          <w:lang w:eastAsia="cs-CZ"/>
        </w:rPr>
        <w:t xml:space="preserve"> minimální standardy uvedené v bodě 11 </w:t>
      </w:r>
      <w:r w:rsidRPr="00E62603">
        <w:rPr>
          <w:rFonts w:eastAsia="Times New Roman" w:cs="Arial"/>
          <w:sz w:val="24"/>
          <w:szCs w:val="20"/>
          <w:lang w:val="x-none" w:eastAsia="x-none"/>
        </w:rPr>
        <w:t>Minimální standardy</w:t>
      </w:r>
      <w:r w:rsidRPr="00E62603">
        <w:rPr>
          <w:rFonts w:eastAsia="Arial Unicode MS" w:cs="Arial"/>
          <w:sz w:val="24"/>
          <w:szCs w:val="24"/>
          <w:lang w:eastAsia="cs-CZ"/>
        </w:rPr>
        <w:t>, ne starší 3 měsíců k datu podání žádosti.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Arial Unicode MS" w:cs="Arial"/>
          <w:b/>
          <w:sz w:val="24"/>
          <w:szCs w:val="24"/>
          <w:lang w:eastAsia="cs-CZ"/>
        </w:rPr>
        <w:t>8   </w:t>
      </w: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Termín příjmu dokladů prokazujících nárok na dotaci</w:t>
      </w:r>
    </w:p>
    <w:p w:rsidR="002C128C" w:rsidRPr="00E62603" w:rsidRDefault="002C128C" w:rsidP="002C128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Příjem formuláře s doklady prokazujícími nárok na dotaci</w:t>
      </w:r>
      <w:r w:rsidRPr="00E62603" w:rsidDel="00E81DF5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začíná 1. 9. 2020 a končí </w:t>
      </w:r>
      <w:r>
        <w:rPr>
          <w:rFonts w:eastAsia="Times New Roman" w:cs="Arial"/>
          <w:sz w:val="24"/>
          <w:szCs w:val="24"/>
          <w:lang w:eastAsia="cs-CZ"/>
        </w:rPr>
        <w:t>4. 11.</w:t>
      </w:r>
      <w:r w:rsidRPr="00E62603">
        <w:rPr>
          <w:rFonts w:eastAsia="Times New Roman" w:cs="Arial"/>
          <w:sz w:val="24"/>
          <w:szCs w:val="24"/>
          <w:lang w:eastAsia="cs-CZ"/>
        </w:rPr>
        <w:t> 2020.</w:t>
      </w:r>
    </w:p>
    <w:p w:rsidR="002C128C" w:rsidRPr="00E62603" w:rsidRDefault="002C128C" w:rsidP="002C128C">
      <w:pPr>
        <w:spacing w:after="120"/>
        <w:rPr>
          <w:rFonts w:cs="Arial"/>
          <w:sz w:val="24"/>
        </w:rPr>
      </w:pPr>
      <w:r w:rsidRPr="00E62603">
        <w:rPr>
          <w:rFonts w:cs="Arial"/>
          <w:bCs/>
          <w:spacing w:val="-2"/>
          <w:sz w:val="24"/>
        </w:rPr>
        <w:t>Formulář</w:t>
      </w:r>
      <w:r w:rsidRPr="00E62603">
        <w:rPr>
          <w:rFonts w:cs="Arial"/>
          <w:bCs/>
          <w:sz w:val="24"/>
        </w:rPr>
        <w:t xml:space="preserve"> </w:t>
      </w:r>
      <w:r w:rsidRPr="00E62603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62603">
        <w:rPr>
          <w:rFonts w:cs="Arial"/>
          <w:bCs/>
          <w:sz w:val="24"/>
        </w:rPr>
        <w:t>předmětu dotace.</w:t>
      </w: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  <w:r>
        <w:rPr>
          <w:rFonts w:eastAsia="Times New Roman" w:cs="Arial"/>
          <w:b/>
          <w:bCs/>
          <w:sz w:val="24"/>
          <w:szCs w:val="24"/>
          <w:lang w:eastAsia="cs-CZ"/>
        </w:rPr>
        <w:t xml:space="preserve"> </w:t>
      </w:r>
    </w:p>
    <w:p w:rsidR="002C128C" w:rsidRPr="0049622C" w:rsidRDefault="002C128C" w:rsidP="002C128C">
      <w:pPr>
        <w:numPr>
          <w:ilvl w:val="3"/>
          <w:numId w:val="5"/>
        </w:numPr>
        <w:tabs>
          <w:tab w:val="clear" w:pos="1920"/>
          <w:tab w:val="num" w:pos="426"/>
        </w:tabs>
        <w:spacing w:after="120"/>
        <w:ind w:left="426" w:hanging="426"/>
        <w:jc w:val="both"/>
        <w:rPr>
          <w:rFonts w:eastAsia="Arial Unicode MS" w:cs="Arial"/>
          <w:sz w:val="24"/>
          <w:szCs w:val="24"/>
          <w:lang w:eastAsia="cs-CZ"/>
        </w:rPr>
      </w:pPr>
      <w:r w:rsidRPr="005403AD">
        <w:rPr>
          <w:rFonts w:eastAsia="Arial Unicode MS" w:cs="Arial"/>
          <w:bCs/>
          <w:sz w:val="24"/>
          <w:szCs w:val="24"/>
          <w:lang w:eastAsia="cs-CZ"/>
        </w:rPr>
        <w:t xml:space="preserve">Doklady prokazující skutečně vynaložené uznatelné náklady související s předmětem dotace </w:t>
      </w:r>
      <w:r w:rsidRPr="009E61BF">
        <w:rPr>
          <w:rFonts w:eastAsia="Arial Unicode MS" w:cs="Arial"/>
          <w:bCs/>
          <w:sz w:val="24"/>
          <w:szCs w:val="24"/>
          <w:lang w:eastAsia="cs-CZ"/>
        </w:rPr>
        <w:t>včetně</w:t>
      </w:r>
      <w:r>
        <w:rPr>
          <w:rFonts w:eastAsia="Arial Unicode MS" w:cs="Arial"/>
          <w:bCs/>
          <w:sz w:val="24"/>
          <w:szCs w:val="24"/>
          <w:lang w:eastAsia="cs-CZ"/>
        </w:rPr>
        <w:t xml:space="preserve"> objednávek, smluv a</w:t>
      </w:r>
      <w:r w:rsidRPr="000777C2">
        <w:rPr>
          <w:rFonts w:eastAsia="Arial Unicode MS" w:cs="Arial"/>
          <w:bCs/>
          <w:sz w:val="24"/>
          <w:szCs w:val="24"/>
          <w:lang w:eastAsia="cs-CZ"/>
        </w:rPr>
        <w:t xml:space="preserve"> předávacích protokolů</w:t>
      </w:r>
      <w:r>
        <w:rPr>
          <w:rFonts w:eastAsia="Arial Unicode MS" w:cs="Arial"/>
          <w:bCs/>
          <w:sz w:val="24"/>
          <w:szCs w:val="24"/>
          <w:lang w:eastAsia="cs-CZ"/>
        </w:rPr>
        <w:t>.</w:t>
      </w:r>
      <w:r w:rsidRPr="000777C2">
        <w:rPr>
          <w:rFonts w:eastAsia="Arial Unicode MS" w:cs="Arial"/>
          <w:bCs/>
          <w:sz w:val="24"/>
          <w:szCs w:val="24"/>
          <w:lang w:eastAsia="cs-CZ"/>
        </w:rPr>
        <w:t xml:space="preserve"> </w:t>
      </w:r>
    </w:p>
    <w:p w:rsidR="002C128C" w:rsidRPr="005403AD" w:rsidRDefault="002C128C" w:rsidP="002C128C">
      <w:pPr>
        <w:numPr>
          <w:ilvl w:val="3"/>
          <w:numId w:val="5"/>
        </w:numPr>
        <w:tabs>
          <w:tab w:val="clear" w:pos="1920"/>
          <w:tab w:val="num" w:pos="426"/>
        </w:tabs>
        <w:spacing w:after="120"/>
        <w:ind w:left="426" w:hanging="426"/>
        <w:jc w:val="both"/>
        <w:rPr>
          <w:rFonts w:eastAsia="Arial Unicode MS" w:cs="Arial"/>
          <w:sz w:val="24"/>
          <w:szCs w:val="24"/>
          <w:lang w:eastAsia="cs-CZ"/>
        </w:rPr>
      </w:pPr>
      <w:r w:rsidRPr="0049622C">
        <w:rPr>
          <w:rFonts w:eastAsia="Arial Unicode MS" w:cs="Arial"/>
          <w:bCs/>
          <w:sz w:val="24"/>
          <w:szCs w:val="24"/>
          <w:lang w:eastAsia="cs-CZ"/>
        </w:rPr>
        <w:lastRenderedPageBreak/>
        <w:t xml:space="preserve">Doklady prokazující uhrazení skutečně vynaložených uznatelných nákladů (výpis z bankovního účtu, doklad o platbě v hotovosti). Z dokladu o úhradě uskutečněné převodem z bankovního účtu musí být zřejmé, že bankovní účet je ve vlastnictví žadatele. Z příjmového/výdajového dokladu musí být zřejmé, že úhrada </w:t>
      </w:r>
      <w:r>
        <w:rPr>
          <w:rFonts w:eastAsia="Arial Unicode MS" w:cs="Arial"/>
          <w:bCs/>
          <w:sz w:val="24"/>
          <w:szCs w:val="24"/>
          <w:lang w:eastAsia="cs-CZ"/>
        </w:rPr>
        <w:br/>
      </w:r>
      <w:r w:rsidRPr="0049622C">
        <w:rPr>
          <w:rFonts w:eastAsia="Arial Unicode MS" w:cs="Arial"/>
          <w:bCs/>
          <w:sz w:val="24"/>
          <w:szCs w:val="24"/>
          <w:lang w:eastAsia="cs-CZ"/>
        </w:rPr>
        <w:t>v hotovosti byla provedena žadatelem.</w:t>
      </w:r>
    </w:p>
    <w:p w:rsidR="002C128C" w:rsidRPr="00E62603" w:rsidRDefault="002C128C" w:rsidP="002C128C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  <w:szCs w:val="24"/>
        </w:rPr>
        <w:t xml:space="preserve">10   Náklady </w:t>
      </w:r>
      <w:r w:rsidRPr="00E62603">
        <w:rPr>
          <w:rFonts w:cs="Arial"/>
          <w:b/>
          <w:sz w:val="24"/>
        </w:rPr>
        <w:t>související s předmětem dotace</w:t>
      </w:r>
    </w:p>
    <w:p w:rsidR="002C128C" w:rsidRPr="00E62603" w:rsidRDefault="002C128C" w:rsidP="002C128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5"/>
        <w:gridCol w:w="4508"/>
        <w:gridCol w:w="4059"/>
      </w:tblGrid>
      <w:tr w:rsidR="002C128C" w:rsidRPr="00E62603" w:rsidTr="00F47044">
        <w:trPr>
          <w:trHeight w:val="680"/>
        </w:trPr>
        <w:tc>
          <w:tcPr>
            <w:tcW w:w="495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kód</w:t>
            </w:r>
          </w:p>
        </w:tc>
        <w:tc>
          <w:tcPr>
            <w:tcW w:w="4535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předmět dotace</w:t>
            </w:r>
          </w:p>
        </w:tc>
        <w:tc>
          <w:tcPr>
            <w:tcW w:w="4082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náklady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1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technologických linek a strojů pro modernizaci základních technologických procesů zpracování zemědělských produktů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veškeré technologické zařízení související s výrobou včetně</w:t>
            </w:r>
            <w:r w:rsidRPr="00E62603">
              <w:t xml:space="preserve"> </w:t>
            </w: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 xml:space="preserve">hygienických a sanitačních zařízení  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2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zařízení přímo souvisejících s finální úpravou, balením a značením výrobků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nářezové a balící linky, balící stroje, plnící stroje, označovací stroje, paletizace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3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skladování surovin a hotových potravinářských výrobků, resp. krmiv</w:t>
            </w:r>
            <w:r w:rsidRPr="00E62603">
              <w:t xml:space="preserve"> </w:t>
            </w: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vč. modernizace chladících a mrazících zařízení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vytvoření a modernizace skladů s řízenou i neřízenou teplotou.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4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tepelných spotřebičů ovlivňujících kvalitu výrobků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proofErr w:type="gramStart"/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zařízení k tep. opracování</w:t>
            </w:r>
            <w:proofErr w:type="gramEnd"/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; výroba páry pro provoz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5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nákup a instalaci měřících a kontrolních přístrojů ke sledování technologických ukazatelů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detektory cizích těles, přístroje pro zjišťování jakostních a technologických ukazatelů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6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pořízení zařízení souvisejících ze sledovatelností výrobků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HW a SW pro dosledovatelnost výrobků, např. IS skladového hosp., výroby a distribuce včetně HW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7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zavádění technologií šetrných k životnímu prostředí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technologie s úsporou energie, vody, snížení množství odpadu apod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8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související hardware a software – náklady na pořízení nesmí překročit 50 % z celkových přijatelných nákladů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jedná se o veškerý SW v projektu včetně SW uvedeného v kódu 6</w:t>
            </w:r>
          </w:p>
        </w:tc>
      </w:tr>
      <w:tr w:rsidR="002C128C" w:rsidRPr="00E62603" w:rsidTr="00F47044">
        <w:tc>
          <w:tcPr>
            <w:tcW w:w="49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9</w:t>
            </w:r>
          </w:p>
        </w:tc>
        <w:tc>
          <w:tcPr>
            <w:tcW w:w="453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stavební náklady vyvolané pořízením a instalací technologie, měřících, kontrolních, záznamových a vyhodnocovacích přístrojů - požadované náklady na stavební práce nesmí překročit 50% z celkem požadovaných nákladů</w:t>
            </w:r>
          </w:p>
        </w:tc>
        <w:tc>
          <w:tcPr>
            <w:tcW w:w="408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stavební náklady vzniklé v souvislosti s instalací poříze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né technologie včetně rozšíření</w:t>
            </w: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a/nebo rekonstrukce stávajících p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rostor, prostá renovace prostor</w:t>
            </w: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bez vazby na pořizovanou technologii není způsobilá (např. stěn, podlah stropů)</w:t>
            </w:r>
          </w:p>
        </w:tc>
      </w:tr>
    </w:tbl>
    <w:p w:rsidR="002C128C" w:rsidRPr="00E62603" w:rsidRDefault="002C128C" w:rsidP="002C128C">
      <w:pPr>
        <w:spacing w:after="120"/>
        <w:rPr>
          <w:rFonts w:eastAsia="Times New Roman" w:cs="Arial"/>
          <w:sz w:val="24"/>
          <w:szCs w:val="24"/>
          <w:lang w:eastAsia="cs-CZ"/>
        </w:rPr>
      </w:pPr>
    </w:p>
    <w:p w:rsidR="002C128C" w:rsidRPr="00E62603" w:rsidRDefault="002C128C" w:rsidP="002C128C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62603">
        <w:rPr>
          <w:rFonts w:cs="Arial"/>
          <w:sz w:val="24"/>
          <w:szCs w:val="24"/>
        </w:rPr>
        <w:t>související s předmětem dotace</w:t>
      </w:r>
      <w:r w:rsidRPr="00E62603">
        <w:rPr>
          <w:rFonts w:cs="Arial"/>
          <w:bCs/>
          <w:sz w:val="24"/>
          <w:szCs w:val="24"/>
        </w:rPr>
        <w:t>:</w:t>
      </w:r>
    </w:p>
    <w:p w:rsidR="002C128C" w:rsidRPr="00E62603" w:rsidRDefault="002C128C" w:rsidP="002C128C">
      <w:pPr>
        <w:numPr>
          <w:ilvl w:val="0"/>
          <w:numId w:val="4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2603">
        <w:rPr>
          <w:rFonts w:eastAsia="Times New Roman" w:cs="Arial"/>
          <w:sz w:val="24"/>
          <w:szCs w:val="24"/>
          <w:lang w:val="x-none" w:eastAsia="cs-CZ"/>
        </w:rPr>
        <w:t>náklady na projektovou dokumentaci,</w:t>
      </w:r>
    </w:p>
    <w:p w:rsidR="002C128C" w:rsidRPr="00E62603" w:rsidRDefault="002C128C" w:rsidP="002C128C">
      <w:pPr>
        <w:numPr>
          <w:ilvl w:val="0"/>
          <w:numId w:val="4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2603">
        <w:rPr>
          <w:rFonts w:eastAsia="Times New Roman" w:cs="Arial"/>
          <w:sz w:val="24"/>
          <w:szCs w:val="24"/>
          <w:lang w:val="x-none" w:eastAsia="cs-CZ"/>
        </w:rPr>
        <w:t>správní poplatky,</w:t>
      </w:r>
    </w:p>
    <w:p w:rsidR="002C128C" w:rsidRPr="008B10B3" w:rsidRDefault="002C128C" w:rsidP="002C128C">
      <w:pPr>
        <w:numPr>
          <w:ilvl w:val="0"/>
          <w:numId w:val="4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2603">
        <w:rPr>
          <w:rFonts w:eastAsia="Times New Roman" w:cs="Arial"/>
          <w:spacing w:val="-2"/>
          <w:sz w:val="24"/>
          <w:szCs w:val="24"/>
          <w:lang w:val="x-none" w:eastAsia="cs-CZ"/>
        </w:rPr>
        <w:t>dopravní prostředky vyjma specializovaných nástaveb a zařízení nutné ke splnění</w:t>
      </w:r>
      <w:r w:rsidRPr="00E62603">
        <w:rPr>
          <w:rFonts w:eastAsia="Times New Roman" w:cs="Arial"/>
          <w:sz w:val="24"/>
          <w:szCs w:val="24"/>
          <w:lang w:val="x-none" w:eastAsia="cs-CZ"/>
        </w:rPr>
        <w:t xml:space="preserve"> požadavků legislativy.</w:t>
      </w:r>
    </w:p>
    <w:p w:rsidR="002C128C" w:rsidRPr="00E62603" w:rsidRDefault="002C128C" w:rsidP="002C128C">
      <w:pPr>
        <w:spacing w:after="120"/>
        <w:ind w:left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</w:p>
    <w:p w:rsidR="002C128C" w:rsidRPr="00E62603" w:rsidRDefault="002C128C" w:rsidP="002C128C">
      <w:pPr>
        <w:spacing w:before="240" w:after="120"/>
        <w:jc w:val="both"/>
        <w:rPr>
          <w:rFonts w:eastAsia="Times New Roman" w:cs="Arial"/>
          <w:b/>
          <w:sz w:val="24"/>
          <w:szCs w:val="20"/>
          <w:lang w:val="x-none" w:eastAsia="x-none"/>
        </w:rPr>
      </w:pPr>
      <w:r w:rsidRPr="00E62603">
        <w:rPr>
          <w:rFonts w:cs="Arial"/>
          <w:b/>
          <w:sz w:val="24"/>
          <w:szCs w:val="24"/>
        </w:rPr>
        <w:lastRenderedPageBreak/>
        <w:t>11   </w:t>
      </w:r>
      <w:r w:rsidRPr="00E62603">
        <w:rPr>
          <w:rFonts w:eastAsia="Times New Roman" w:cs="Arial"/>
          <w:b/>
          <w:sz w:val="24"/>
          <w:szCs w:val="20"/>
          <w:lang w:val="x-none" w:eastAsia="x-none"/>
        </w:rPr>
        <w:t>Minimální standardy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3"/>
        <w:gridCol w:w="3402"/>
        <w:gridCol w:w="3005"/>
        <w:gridCol w:w="1361"/>
      </w:tblGrid>
      <w:tr w:rsidR="002C128C" w:rsidRPr="00E62603" w:rsidTr="00F47044">
        <w:tc>
          <w:tcPr>
            <w:tcW w:w="1333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Oblast</w:t>
            </w:r>
          </w:p>
        </w:tc>
        <w:tc>
          <w:tcPr>
            <w:tcW w:w="3402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Platná právní úprava ČR</w:t>
            </w:r>
          </w:p>
        </w:tc>
        <w:tc>
          <w:tcPr>
            <w:tcW w:w="3005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Popis obsahu</w:t>
            </w:r>
          </w:p>
        </w:tc>
        <w:tc>
          <w:tcPr>
            <w:tcW w:w="1361" w:type="dxa"/>
            <w:vAlign w:val="center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Příslušný orgán státní správy</w:t>
            </w:r>
          </w:p>
        </w:tc>
      </w:tr>
      <w:tr w:rsidR="002C128C" w:rsidRPr="00E62603" w:rsidTr="00F47044">
        <w:trPr>
          <w:cantSplit/>
          <w:trHeight w:val="847"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2603">
              <w:rPr>
                <w:rFonts w:eastAsia="Times New Roman" w:cs="Arial"/>
                <w:bCs/>
                <w:snapToGrid w:val="0"/>
                <w:spacing w:val="-2"/>
                <w:sz w:val="24"/>
                <w:szCs w:val="24"/>
                <w:lang w:eastAsia="cs-CZ"/>
              </w:rPr>
              <w:t>166/1999</w:t>
            </w:r>
            <w:r w:rsidRPr="00E62603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 Sb., o veterinární péči a o změně souvisejících zákonů (veterinární zákon), ve znění pozdějších předpisů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péče, zdraví zvířat, hygiena a nezávadnost potravin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2C128C" w:rsidRPr="00E62603" w:rsidTr="00F47044">
        <w:trPr>
          <w:cantSplit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2603">
              <w:rPr>
                <w:rFonts w:eastAsia="Times New Roman" w:cs="Arial"/>
                <w:bCs/>
                <w:spacing w:val="-2"/>
                <w:sz w:val="24"/>
                <w:szCs w:val="24"/>
                <w:lang w:eastAsia="cs-CZ"/>
              </w:rPr>
              <w:t>110/1997</w:t>
            </w: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Sb., o potravinách a tabákových výrobcích a o změně a doplnění některých souvisejících zákonů, </w:t>
            </w:r>
            <w:r w:rsidRPr="00E62603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potravin a tabákových výrobků a jejich uvádění do oběhu a upravuje státní dozor nad dodržováním povinností, vyplývajících z tohoto zákona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2C128C" w:rsidRPr="00E62603" w:rsidTr="00F47044">
        <w:trPr>
          <w:cantSplit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178/2002, kterým se stanoví obecné zásady a požadavky potravinového práva, zřizuje se Evropský úřad pro bezpečnost potravin a stanoví postupy týkající se bezpečnosti potravin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2C128C" w:rsidRPr="00E62603" w:rsidTr="00F47044">
        <w:trPr>
          <w:cantSplit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852/2004, o hygieně potravin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2C128C" w:rsidRPr="00E62603" w:rsidTr="00F47044">
        <w:trPr>
          <w:cantSplit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853/2004 ze dne 29. dubna 2004, kterým se stanoví zvláštní hygienická pravidla pro potraviny živočišného původu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2C128C" w:rsidRPr="00E62603" w:rsidTr="00F47044">
        <w:trPr>
          <w:cantSplit/>
          <w:trHeight w:val="371"/>
        </w:trPr>
        <w:tc>
          <w:tcPr>
            <w:tcW w:w="1333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krmiv</w:t>
            </w:r>
          </w:p>
        </w:tc>
        <w:tc>
          <w:tcPr>
            <w:tcW w:w="3402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91/1996 Sb., o krmivech, </w:t>
            </w:r>
            <w:r w:rsidRPr="00E62603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005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krmiv</w:t>
            </w:r>
          </w:p>
        </w:tc>
        <w:tc>
          <w:tcPr>
            <w:tcW w:w="1361" w:type="dxa"/>
          </w:tcPr>
          <w:p w:rsidR="002C128C" w:rsidRPr="00E62603" w:rsidRDefault="002C128C" w:rsidP="00F4704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ÚKZÚZ</w:t>
            </w:r>
          </w:p>
        </w:tc>
      </w:tr>
    </w:tbl>
    <w:p w:rsidR="002C128C" w:rsidRDefault="002C128C" w:rsidP="002C128C">
      <w:pPr>
        <w:spacing w:after="120"/>
        <w:jc w:val="both"/>
        <w:rPr>
          <w:rFonts w:cs="Arial"/>
          <w:sz w:val="24"/>
          <w:szCs w:val="24"/>
        </w:rPr>
      </w:pPr>
    </w:p>
    <w:p w:rsidR="002C128C" w:rsidRDefault="002C128C" w:rsidP="002C128C">
      <w:pPr>
        <w:spacing w:after="120"/>
        <w:jc w:val="both"/>
        <w:rPr>
          <w:rFonts w:cs="Arial"/>
          <w:sz w:val="24"/>
          <w:szCs w:val="24"/>
        </w:rPr>
      </w:pPr>
    </w:p>
    <w:p w:rsidR="002C128C" w:rsidRDefault="002C128C" w:rsidP="002C128C">
      <w:pPr>
        <w:spacing w:after="120"/>
        <w:jc w:val="both"/>
        <w:rPr>
          <w:rFonts w:cs="Arial"/>
          <w:sz w:val="24"/>
          <w:szCs w:val="24"/>
        </w:rPr>
      </w:pPr>
    </w:p>
    <w:p w:rsidR="002C128C" w:rsidRDefault="002C128C" w:rsidP="002C128C">
      <w:pPr>
        <w:spacing w:after="120"/>
        <w:jc w:val="both"/>
        <w:rPr>
          <w:rFonts w:cs="Arial"/>
          <w:sz w:val="24"/>
          <w:szCs w:val="24"/>
        </w:rPr>
      </w:pPr>
    </w:p>
    <w:p w:rsidR="002C128C" w:rsidRPr="00E62603" w:rsidRDefault="002C128C" w:rsidP="002C128C">
      <w:pPr>
        <w:spacing w:after="120"/>
        <w:jc w:val="both"/>
        <w:rPr>
          <w:rFonts w:cs="Arial"/>
          <w:sz w:val="24"/>
          <w:szCs w:val="24"/>
        </w:rPr>
      </w:pPr>
    </w:p>
    <w:p w:rsidR="002C128C" w:rsidRPr="00E62603" w:rsidRDefault="002C128C" w:rsidP="002C128C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pacing w:val="-4"/>
          <w:sz w:val="24"/>
          <w:szCs w:val="24"/>
        </w:rPr>
        <w:t>12   </w:t>
      </w:r>
      <w:r w:rsidRPr="00E62603">
        <w:rPr>
          <w:rFonts w:eastAsia="Times New Roman" w:cs="Arial"/>
          <w:b/>
          <w:spacing w:val="-4"/>
          <w:sz w:val="24"/>
          <w:lang w:eastAsia="cs-CZ"/>
        </w:rPr>
        <w:t>Seznam výrobků, jejichž výroba, zpracování a uvádění na trh spadá do oblasti</w:t>
      </w:r>
      <w:r w:rsidRPr="00E62603">
        <w:rPr>
          <w:rFonts w:eastAsia="Times New Roman" w:cs="Arial"/>
          <w:b/>
          <w:sz w:val="24"/>
          <w:lang w:eastAsia="cs-CZ"/>
        </w:rPr>
        <w:t xml:space="preserve"> Společné zemědělské a rybářské politiky</w:t>
      </w:r>
    </w:p>
    <w:p w:rsidR="002C128C" w:rsidRPr="00E62603" w:rsidRDefault="002C128C" w:rsidP="002C128C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Příloha I. Smlouvy o fungování EU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68"/>
        <w:gridCol w:w="7796"/>
      </w:tblGrid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lastRenderedPageBreak/>
              <w:t>Číslo nomenklatury</w:t>
            </w:r>
          </w:p>
        </w:tc>
        <w:tc>
          <w:tcPr>
            <w:tcW w:w="7796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Název zboží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Živá zvířata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Maso a poživatelné droby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Ryby, korýši a měkkýši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4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Mléko a mlékárenské výrobky; ptačí vejce; přírodní med</w:t>
            </w:r>
          </w:p>
        </w:tc>
      </w:tr>
      <w:tr w:rsidR="002C128C" w:rsidRPr="00E62603" w:rsidTr="00F47044">
        <w:trPr>
          <w:trHeight w:val="1064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05.04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05.15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Střeva, měchýře a žaludky ze zvířat (jiných než ryb), celé a jejich části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 xml:space="preserve">Výrobky živočišného původu jinde neuvedené ani nezahrnuté; mrtvá zvířata kapitol 1 nebo 3, nezpůsobilá k lidskému požívání 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6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Živé rostliny a květinářské produkty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7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Zelenina, poživatelné rostliny, kořeny a hlízy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8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Jedlé ovoce; slupky citrusových plodů a melounů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9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Káva, čaj, koření, jiné než maté (čísla 09.03)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10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Obiloviny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Mlýnské výrobky: slad, škroby, lepek, inulin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Olejnatá semena a olejnaté plody; různá semena a plody, průmyslové a léčivé rostliny; sláma a pícniny</w:t>
            </w:r>
          </w:p>
        </w:tc>
      </w:tr>
      <w:tr w:rsidR="002C128C" w:rsidRPr="00E62603" w:rsidTr="00F47044">
        <w:trPr>
          <w:trHeight w:val="853"/>
        </w:trPr>
        <w:tc>
          <w:tcPr>
            <w:tcW w:w="1668" w:type="dxa"/>
            <w:vAlign w:val="center"/>
          </w:tcPr>
          <w:p w:rsidR="002C128C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13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ex 13.03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Pektin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15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Vepřové sádlo a jiný lisovaný nebo tavený vepřový tuk; lisovaný nebo tavený drůbeží tuk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15.02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Lůj hovězí, ovčí nebo kozí, surový nebo tavený, též „premier jus“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15.03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 xml:space="preserve">Stearin z vepřového sádla, oleostearin, olein z vepřového sádla a neemulgovaný oleomargarin, nesmíchané ani jinak neupravené 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15.04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Tuky a oleje z ryb a z mořských savců, též rafinované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15.07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Ztužené rostlinné oleje, tekuté nebo pevné, surové, čištěné nebo rafinované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15.12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Tuky a oleje živočišné nebo rostlinné, hydrogenované, též rafinované, ale jinak neupravené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15.13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Margarin, umělé vepřové sádlo a jiné upravené potravinové tuky</w:t>
            </w:r>
          </w:p>
        </w:tc>
      </w:tr>
      <w:tr w:rsidR="002C128C" w:rsidRPr="00E62603" w:rsidTr="00F47044">
        <w:trPr>
          <w:trHeight w:val="784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15.17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Zbytky po zpracování živočišných tuků nebo živočišných nebo rostlinných vosků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16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Přípravky z masa, ryb, korýšů nebo měkkýšů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17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lastRenderedPageBreak/>
              <w:t>17.01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Řepný a třtinový cukr, v pevném stavu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17.02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Ostatní cukry; cukerné sirupy; umělý med (též smíšený s přírodním medem); karamel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17.03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Melasa, též odbarvená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17.05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18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18.01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Kakaové boby, též ve zlomcích, surové nebo pražené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18.02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Kakaové skořápky, slupky a ostatní kakaové odpady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20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Přípravky ze zeleniny, poživatelných rostlin, ovoce nebo z jiných částí rostlin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22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22.04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Vinný mošt částečně kvašený, též jinak než přidáním alkoholu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22.05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Víno z čerstvých hroznů; vinný mošt z čerstvých hroznů, jehož kvašení bylo zastaveno přidáním alkoholu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22.07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 xml:space="preserve">Ostatní kvašené nápoje (jablečné, hruškové, medovina) 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ex 22.08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ex 22.09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Etylalkohol denaturovaný či nedenaturovaný, jakéhokoli obsahu alkoholu, získávaný ze zemědělských produktů uvedených v příloze I Smlouvy, vyjma destilátů, likérů a jiných lihových nápojů a složených lihových přípravků (tzv. koncentrované extrakty) pro výrobu alkoholických nápojů</w:t>
            </w:r>
          </w:p>
        </w:tc>
      </w:tr>
      <w:tr w:rsidR="002C128C" w:rsidRPr="00E62603" w:rsidTr="00F47044">
        <w:trPr>
          <w:trHeight w:val="246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22.10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Stolní ocet a jeho náhražky</w:t>
            </w:r>
          </w:p>
        </w:tc>
      </w:tr>
      <w:tr w:rsidR="002C128C" w:rsidRPr="00E62603" w:rsidTr="00F47044"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23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Zbytky a odpady v potravinářském průmyslu; připravené krmivo</w:t>
            </w:r>
          </w:p>
        </w:tc>
      </w:tr>
      <w:tr w:rsidR="002C128C" w:rsidRPr="00E62603" w:rsidTr="00F47044">
        <w:trPr>
          <w:trHeight w:val="690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24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24.01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Nezpracovaný tabák, tabákový odpad</w:t>
            </w:r>
          </w:p>
        </w:tc>
      </w:tr>
      <w:tr w:rsidR="002C128C" w:rsidRPr="00E62603" w:rsidTr="00F47044">
        <w:trPr>
          <w:trHeight w:val="671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  <w:t>Kapitola 45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45.01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Surový přírodní korek, korkový odpad; granulovaný nebo na prach umletý</w:t>
            </w:r>
          </w:p>
        </w:tc>
      </w:tr>
      <w:tr w:rsidR="002C128C" w:rsidRPr="00E62603" w:rsidTr="00F47044">
        <w:trPr>
          <w:trHeight w:val="706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54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54.01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Len surový, máčený, třený, vochlovaný nebo jinak zpracovaný, avšak nespředený, koudel a odpad (včetně trhaného materiálu)</w:t>
            </w:r>
          </w:p>
        </w:tc>
      </w:tr>
      <w:tr w:rsidR="002C128C" w:rsidRPr="00E62603" w:rsidTr="00F47044">
        <w:trPr>
          <w:trHeight w:val="824"/>
        </w:trPr>
        <w:tc>
          <w:tcPr>
            <w:tcW w:w="1668" w:type="dxa"/>
            <w:vAlign w:val="center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57</w:t>
            </w:r>
          </w:p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57.01</w:t>
            </w:r>
          </w:p>
        </w:tc>
        <w:tc>
          <w:tcPr>
            <w:tcW w:w="7796" w:type="dxa"/>
          </w:tcPr>
          <w:p w:rsidR="002C128C" w:rsidRPr="00E62603" w:rsidRDefault="002C128C" w:rsidP="00F4704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2603">
              <w:rPr>
                <w:rFonts w:eastAsia="Times New Roman" w:cs="Arial"/>
                <w:sz w:val="24"/>
                <w:szCs w:val="24"/>
                <w:lang w:eastAsia="cs-CZ"/>
              </w:rPr>
              <w:t>Pravé konopí (Cannabis sativa) surové, máčené, třené, vochlované nebo jinak zpracované, avšak nespředené, koudel a odpad (včetně trhaného materiálu)</w:t>
            </w:r>
          </w:p>
        </w:tc>
      </w:tr>
    </w:tbl>
    <w:p w:rsidR="002C128C" w:rsidRPr="00E62603" w:rsidRDefault="002C128C" w:rsidP="002C128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</w:p>
    <w:p w:rsidR="002C128C" w:rsidRPr="00E62603" w:rsidRDefault="002C128C" w:rsidP="002C128C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p w:rsidR="00DF3B41" w:rsidRDefault="00DF3B41" w:rsidP="002C128C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FDB"/>
    <w:multiLevelType w:val="hybridMultilevel"/>
    <w:tmpl w:val="0EE4C336"/>
    <w:lvl w:ilvl="0" w:tplc="6A26D2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949CD"/>
    <w:multiLevelType w:val="hybridMultilevel"/>
    <w:tmpl w:val="9EA236A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A5D68CC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7F15A2"/>
    <w:multiLevelType w:val="hybridMultilevel"/>
    <w:tmpl w:val="30C2E4C6"/>
    <w:lvl w:ilvl="0" w:tplc="3028EA70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35F6"/>
    <w:multiLevelType w:val="hybridMultilevel"/>
    <w:tmpl w:val="4BBE4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F1453"/>
    <w:multiLevelType w:val="multilevel"/>
    <w:tmpl w:val="D33A048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C324EF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90F49"/>
    <w:multiLevelType w:val="hybridMultilevel"/>
    <w:tmpl w:val="49FA5A5E"/>
    <w:lvl w:ilvl="0" w:tplc="960492A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8C"/>
    <w:rsid w:val="002C128C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814FA-7A09-4620-BFBF-420985B4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12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128C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C128C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2229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2019-12-09T10:43:00Z</dcterms:created>
  <dcterms:modified xsi:type="dcterms:W3CDTF">2019-12-09T10:43:00Z</dcterms:modified>
</cp:coreProperties>
</file>